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EE7" w:rsidRDefault="00D666E2">
      <w:r>
        <w:rPr>
          <w:b/>
          <w:sz w:val="28"/>
          <w:szCs w:val="28"/>
        </w:rPr>
        <w:t>TESC Solar Covered Parking Overview</w:t>
      </w:r>
    </w:p>
    <w:p w:rsidR="00755EE7" w:rsidRDefault="00D666E2">
      <w:r>
        <w:rPr>
          <w:b/>
          <w:sz w:val="20"/>
          <w:szCs w:val="20"/>
        </w:rPr>
        <w:t xml:space="preserve">Jimmy Hadley </w:t>
      </w:r>
    </w:p>
    <w:p w:rsidR="00755EE7" w:rsidRDefault="00D666E2">
      <w:r>
        <w:rPr>
          <w:b/>
          <w:sz w:val="20"/>
          <w:szCs w:val="20"/>
        </w:rPr>
        <w:t>5 Aug 2015</w:t>
      </w:r>
    </w:p>
    <w:p w:rsidR="00755EE7" w:rsidRDefault="00755EE7"/>
    <w:p w:rsidR="00755EE7" w:rsidRDefault="00D666E2">
      <w:r>
        <w:rPr>
          <w:sz w:val="20"/>
          <w:szCs w:val="20"/>
        </w:rPr>
        <w:t>Installing a 100kW system of solar canopies in B and C lot would cover the parking stalls with the highest yearly sunlight exposure.  The 9 parking stall islands would be completely covered, providing relief from heat and train throughout the year.</w:t>
      </w:r>
    </w:p>
    <w:p w:rsidR="00755EE7" w:rsidRDefault="00755EE7"/>
    <w:p w:rsidR="00755EE7" w:rsidRDefault="00D666E2">
      <w:r>
        <w:rPr>
          <w:noProof/>
        </w:rPr>
        <w:drawing>
          <wp:inline distT="114300" distB="114300" distL="114300" distR="114300">
            <wp:extent cx="2376488" cy="1601387"/>
            <wp:effectExtent l="0" t="0" r="0" b="0"/>
            <wp:docPr id="1" name="image01.jpg" descr="B Lot All Isla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 Lot All Island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601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  </w:t>
      </w:r>
      <w:r>
        <w:rPr>
          <w:noProof/>
        </w:rPr>
        <w:drawing>
          <wp:inline distT="114300" distB="114300" distL="114300" distR="114300">
            <wp:extent cx="2263603" cy="1604963"/>
            <wp:effectExtent l="0" t="0" r="0" b="0"/>
            <wp:docPr id="2" name="image03.jpg" descr="C Lot All Isla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 Lot All Islands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603" cy="160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EE7" w:rsidRDefault="0095528D">
      <w:r>
        <w:rPr>
          <w:sz w:val="16"/>
          <w:szCs w:val="16"/>
        </w:rPr>
        <w:t>Fig 1</w:t>
      </w:r>
      <w:r w:rsidR="00D66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D666E2">
        <w:rPr>
          <w:sz w:val="16"/>
          <w:szCs w:val="16"/>
        </w:rPr>
        <w:t xml:space="preserve">North side of B Lot                        </w:t>
      </w:r>
      <w:r>
        <w:rPr>
          <w:sz w:val="16"/>
          <w:szCs w:val="16"/>
        </w:rPr>
        <w:t xml:space="preserve">                              </w:t>
      </w:r>
      <w:r w:rsidR="00D666E2">
        <w:rPr>
          <w:sz w:val="16"/>
          <w:szCs w:val="16"/>
        </w:rPr>
        <w:t>South side of C Lot</w:t>
      </w:r>
    </w:p>
    <w:p w:rsidR="00755EE7" w:rsidRDefault="00755EE7"/>
    <w:p w:rsidR="00755EE7" w:rsidRDefault="00D666E2">
      <w:r>
        <w:rPr>
          <w:sz w:val="20"/>
          <w:szCs w:val="20"/>
        </w:rPr>
        <w:t xml:space="preserve">The installation will involve building the support structure for the covered stalls, evaluating the existing electric infrastructure, purchasing up </w:t>
      </w:r>
      <w:r>
        <w:rPr>
          <w:sz w:val="20"/>
          <w:szCs w:val="20"/>
        </w:rPr>
        <w:t>to 5000 panels measuring 1x1.5m each, and setting up an ongoing maintenance program.  We have found estimates of $3-5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per watt </w:t>
      </w:r>
      <w:r w:rsidR="0095528D">
        <w:rPr>
          <w:sz w:val="20"/>
          <w:szCs w:val="20"/>
        </w:rPr>
        <w:t>installed;</w:t>
      </w:r>
      <w:r>
        <w:rPr>
          <w:sz w:val="20"/>
          <w:szCs w:val="20"/>
        </w:rPr>
        <w:t xml:space="preserve"> this has an upward cost of $500,000 for the support structure, panels, inverters, electric infrastructure, and legal </w:t>
      </w:r>
      <w:r>
        <w:rPr>
          <w:sz w:val="20"/>
          <w:szCs w:val="20"/>
        </w:rPr>
        <w:t>permits.</w:t>
      </w:r>
      <w:bookmarkStart w:id="0" w:name="_GoBack"/>
      <w:bookmarkEnd w:id="0"/>
    </w:p>
    <w:p w:rsidR="00755EE7" w:rsidRDefault="00755EE7"/>
    <w:p w:rsidR="00755EE7" w:rsidRDefault="00D666E2">
      <w:r>
        <w:rPr>
          <w:sz w:val="20"/>
          <w:szCs w:val="20"/>
        </w:rPr>
        <w:t xml:space="preserve">The solar panel supplier will be chosen locally to reduce the carbon footprint of the purchase.  We have found suppliers in Oregon, California, Colorado, and Washington State that are </w:t>
      </w:r>
      <w:hyperlink r:id="rId10">
        <w:r>
          <w:rPr>
            <w:color w:val="1155CC"/>
            <w:sz w:val="20"/>
            <w:szCs w:val="20"/>
            <w:u w:val="single"/>
          </w:rPr>
          <w:t>highly ranked</w:t>
        </w:r>
      </w:hyperlink>
      <w:r>
        <w:rPr>
          <w:sz w:val="20"/>
          <w:szCs w:val="20"/>
        </w:rPr>
        <w:t xml:space="preserve"> in quality and sustainability based on material sourcing, materials used, lifetime, recyclability, and human health impact. </w:t>
      </w:r>
    </w:p>
    <w:p w:rsidR="00755EE7" w:rsidRDefault="00755EE7"/>
    <w:p w:rsidR="00755EE7" w:rsidRDefault="00D666E2">
      <w:r>
        <w:rPr>
          <w:sz w:val="20"/>
          <w:szCs w:val="20"/>
        </w:rPr>
        <w:t>100 kW of solar provides approximately 100,000 kWh of power per year.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This will save </w:t>
      </w:r>
      <w:r w:rsidR="0095528D">
        <w:rPr>
          <w:sz w:val="20"/>
          <w:szCs w:val="20"/>
        </w:rPr>
        <w:t>TESC approximately</w:t>
      </w:r>
      <w:r>
        <w:rPr>
          <w:sz w:val="20"/>
          <w:szCs w:val="20"/>
        </w:rPr>
        <w:t xml:space="preserve"> $8000 per year in power and green tag costs.  Over a 30 year lifespan, this will prevent 1,600 tons of coal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 from being consumed and keep 4700 tons of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 xml:space="preserve"> from being released into the atmosphere.  </w:t>
      </w:r>
    </w:p>
    <w:p w:rsidR="00755EE7" w:rsidRDefault="00755EE7"/>
    <w:p w:rsidR="00755EE7" w:rsidRDefault="00D666E2">
      <w:r>
        <w:rPr>
          <w:sz w:val="20"/>
          <w:szCs w:val="20"/>
        </w:rPr>
        <w:t xml:space="preserve">These costs and returns are rough </w:t>
      </w:r>
      <w:r w:rsidR="0095528D">
        <w:rPr>
          <w:sz w:val="20"/>
          <w:szCs w:val="20"/>
        </w:rPr>
        <w:t>estimates;</w:t>
      </w:r>
      <w:r>
        <w:rPr>
          <w:sz w:val="20"/>
          <w:szCs w:val="20"/>
        </w:rPr>
        <w:t xml:space="preserve"> there are </w:t>
      </w:r>
      <w:r>
        <w:rPr>
          <w:sz w:val="20"/>
          <w:szCs w:val="20"/>
        </w:rPr>
        <w:t>options for improving these by:</w:t>
      </w:r>
    </w:p>
    <w:p w:rsidR="00755EE7" w:rsidRDefault="00D666E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Bulk rate on solar panel purchase</w:t>
      </w:r>
    </w:p>
    <w:p w:rsidR="00755EE7" w:rsidRDefault="00D666E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Hire a solar installation company</w:t>
      </w:r>
    </w:p>
    <w:p w:rsidR="00755EE7" w:rsidRDefault="00D666E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Grants and funding programs may cover most of the costs</w:t>
      </w:r>
    </w:p>
    <w:p w:rsidR="00755EE7" w:rsidRDefault="00755EE7"/>
    <w:p w:rsidR="0095528D" w:rsidRDefault="00D666E2">
      <w:r>
        <w:rPr>
          <w:sz w:val="20"/>
          <w:szCs w:val="20"/>
        </w:rPr>
        <w:t>Once this project is successfully completed, TESC will have more experience and connections to help</w:t>
      </w:r>
      <w:r>
        <w:rPr>
          <w:sz w:val="20"/>
          <w:szCs w:val="20"/>
        </w:rPr>
        <w:t xml:space="preserve"> expand its renewable energy program.</w:t>
      </w:r>
    </w:p>
    <w:p w:rsidR="00755EE7" w:rsidRDefault="00D666E2">
      <w:r>
        <w:rPr>
          <w:b/>
          <w:sz w:val="28"/>
          <w:szCs w:val="28"/>
        </w:rPr>
        <w:lastRenderedPageBreak/>
        <w:t>Sources:</w:t>
      </w:r>
    </w:p>
    <w:p w:rsidR="00755EE7" w:rsidRDefault="00755EE7"/>
    <w:p w:rsidR="00755EE7" w:rsidRDefault="00D666E2">
      <w:hyperlink r:id="rId11">
        <w:r>
          <w:rPr>
            <w:color w:val="1155CC"/>
            <w:u w:val="single"/>
          </w:rPr>
          <w:t>http://www.google.com/url?q=http%3A%2F%2Fw</w:t>
        </w:r>
        <w:r>
          <w:rPr>
            <w:color w:val="1155CC"/>
            <w:u w:val="single"/>
          </w:rPr>
          <w:t>ww.solarscorecard.com%2F2014%2F2014-scorecard.php&amp;sa=D&amp;sntz=1&amp;usg=AFQjCNHvj0mbJSk1W0LGdm8msBYQCLfBCA</w:t>
        </w:r>
      </w:hyperlink>
    </w:p>
    <w:p w:rsidR="00755EE7" w:rsidRDefault="00755EE7"/>
    <w:p w:rsidR="00755EE7" w:rsidRDefault="00D666E2">
      <w:hyperlink r:id="rId12">
        <w:r>
          <w:rPr>
            <w:color w:val="1155CC"/>
            <w:u w:val="single"/>
          </w:rPr>
          <w:t>http://www.eia.gov/tools/faqs/faq.cfm?id=667&amp;t=2</w:t>
        </w:r>
      </w:hyperlink>
    </w:p>
    <w:p w:rsidR="00755EE7" w:rsidRDefault="00755EE7"/>
    <w:p w:rsidR="00755EE7" w:rsidRDefault="00D666E2">
      <w:hyperlink r:id="rId13">
        <w:r>
          <w:rPr>
            <w:color w:val="1155CC"/>
            <w:u w:val="single"/>
          </w:rPr>
          <w:t>http://www.eia.gov/coal/production/quarterly/co2_article/co2.html</w:t>
        </w:r>
      </w:hyperlink>
    </w:p>
    <w:p w:rsidR="00755EE7" w:rsidRDefault="00755EE7"/>
    <w:p w:rsidR="00755EE7" w:rsidRDefault="00D666E2">
      <w:hyperlink r:id="rId14">
        <w:r>
          <w:rPr>
            <w:color w:val="1155CC"/>
            <w:u w:val="single"/>
          </w:rPr>
          <w:t>http://solairegeneration.com/</w:t>
        </w:r>
      </w:hyperlink>
    </w:p>
    <w:p w:rsidR="00755EE7" w:rsidRDefault="00755EE7"/>
    <w:p w:rsidR="00755EE7" w:rsidRDefault="00D666E2">
      <w:hyperlink r:id="rId15">
        <w:r>
          <w:rPr>
            <w:color w:val="1155CC"/>
            <w:u w:val="single"/>
          </w:rPr>
          <w:t>http://www.nrel.gov/docs/fy13osti/56776.pdf</w:t>
        </w:r>
      </w:hyperlink>
    </w:p>
    <w:p w:rsidR="00755EE7" w:rsidRDefault="00755EE7"/>
    <w:p w:rsidR="00755EE7" w:rsidRDefault="00755EE7"/>
    <w:p w:rsidR="00755EE7" w:rsidRDefault="00755EE7"/>
    <w:p w:rsidR="00755EE7" w:rsidRDefault="00755EE7"/>
    <w:p w:rsidR="00755EE7" w:rsidRDefault="00755EE7"/>
    <w:p w:rsidR="00755EE7" w:rsidRDefault="00755EE7"/>
    <w:sectPr w:rsidR="00755EE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6E2">
      <w:pPr>
        <w:spacing w:line="240" w:lineRule="auto"/>
      </w:pPr>
      <w:r>
        <w:separator/>
      </w:r>
    </w:p>
  </w:endnote>
  <w:endnote w:type="continuationSeparator" w:id="0">
    <w:p w:rsidR="00000000" w:rsidRDefault="00D66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E7" w:rsidRDefault="00D666E2">
    <w:pPr>
      <w:jc w:val="right"/>
    </w:pPr>
    <w:r>
      <w:fldChar w:fldCharType="begin"/>
    </w:r>
    <w:r>
      <w:instrText>PAGE</w:instrText>
    </w:r>
    <w:r>
      <w:fldChar w:fldCharType="separate"/>
    </w:r>
    <w:r w:rsidR="009552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6E2">
      <w:pPr>
        <w:spacing w:line="240" w:lineRule="auto"/>
      </w:pPr>
      <w:r>
        <w:separator/>
      </w:r>
    </w:p>
  </w:footnote>
  <w:footnote w:type="continuationSeparator" w:id="0">
    <w:p w:rsidR="00000000" w:rsidRDefault="00D666E2">
      <w:pPr>
        <w:spacing w:line="240" w:lineRule="auto"/>
      </w:pPr>
      <w:r>
        <w:continuationSeparator/>
      </w:r>
    </w:p>
  </w:footnote>
  <w:footnote w:id="1">
    <w:p w:rsidR="00755EE7" w:rsidRDefault="00D666E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16"/>
          <w:szCs w:val="16"/>
        </w:rPr>
        <w:t xml:space="preserve">Based on a quote from </w:t>
      </w:r>
      <w:hyperlink r:id="rId1">
        <w:proofErr w:type="spellStart"/>
        <w:r>
          <w:rPr>
            <w:color w:val="1155CC"/>
            <w:sz w:val="16"/>
            <w:szCs w:val="16"/>
            <w:u w:val="single"/>
          </w:rPr>
          <w:t>Solaire</w:t>
        </w:r>
        <w:proofErr w:type="spellEnd"/>
        <w:r>
          <w:rPr>
            <w:color w:val="1155CC"/>
            <w:sz w:val="16"/>
            <w:szCs w:val="16"/>
            <w:u w:val="single"/>
          </w:rPr>
          <w:t xml:space="preserve"> Generation</w:t>
        </w:r>
      </w:hyperlink>
      <w:r>
        <w:rPr>
          <w:sz w:val="16"/>
          <w:szCs w:val="16"/>
        </w:rPr>
        <w:t xml:space="preserve"> and a report by the </w:t>
      </w:r>
      <w:hyperlink r:id="rId2">
        <w:r>
          <w:rPr>
            <w:color w:val="1155CC"/>
            <w:sz w:val="16"/>
            <w:szCs w:val="16"/>
            <w:u w:val="single"/>
          </w:rPr>
          <w:t>DOE</w:t>
        </w:r>
      </w:hyperlink>
      <w:r>
        <w:rPr>
          <w:sz w:val="16"/>
          <w:szCs w:val="16"/>
        </w:rPr>
        <w:t>.</w:t>
      </w:r>
      <w:proofErr w:type="gramEnd"/>
    </w:p>
  </w:footnote>
  <w:footnote w:id="2">
    <w:p w:rsidR="00755EE7" w:rsidRDefault="00D666E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16"/>
          <w:szCs w:val="16"/>
        </w:rPr>
        <w:t>100 kW x 1000 hours of sunlight per year.</w:t>
      </w:r>
      <w:proofErr w:type="gramEnd"/>
    </w:p>
  </w:footnote>
  <w:footnote w:id="3">
    <w:p w:rsidR="00755EE7" w:rsidRDefault="00D666E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1 ton of coal provides </w:t>
      </w:r>
      <w:hyperlink r:id="rId3">
        <w:r>
          <w:rPr>
            <w:color w:val="1155CC"/>
            <w:sz w:val="16"/>
            <w:szCs w:val="16"/>
            <w:u w:val="single"/>
          </w:rPr>
          <w:t>1900 kWh</w:t>
        </w:r>
      </w:hyperlink>
    </w:p>
  </w:footnote>
  <w:footnote w:id="4">
    <w:p w:rsidR="00755EE7" w:rsidRDefault="00D666E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CO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has an atomic weight of 44.  </w:t>
      </w:r>
      <w:proofErr w:type="gramStart"/>
      <w:r>
        <w:rPr>
          <w:sz w:val="16"/>
          <w:szCs w:val="16"/>
        </w:rPr>
        <w:t xml:space="preserve">Based on the ratio of 1 </w:t>
      </w:r>
      <w:proofErr w:type="spellStart"/>
      <w:r>
        <w:rPr>
          <w:sz w:val="16"/>
          <w:szCs w:val="16"/>
        </w:rPr>
        <w:t>lb</w:t>
      </w:r>
      <w:proofErr w:type="spellEnd"/>
      <w:r>
        <w:rPr>
          <w:sz w:val="16"/>
          <w:szCs w:val="16"/>
        </w:rPr>
        <w:t xml:space="preserve"> of carbon combines with 2.67 </w:t>
      </w:r>
      <w:proofErr w:type="spellStart"/>
      <w:r>
        <w:rPr>
          <w:sz w:val="16"/>
          <w:szCs w:val="16"/>
        </w:rPr>
        <w:t>lbs</w:t>
      </w:r>
      <w:proofErr w:type="spellEnd"/>
      <w:r>
        <w:rPr>
          <w:sz w:val="16"/>
          <w:szCs w:val="16"/>
        </w:rPr>
        <w:t xml:space="preserve"> of oxygen, </w:t>
      </w:r>
      <w:proofErr w:type="spellStart"/>
      <w:r>
        <w:rPr>
          <w:sz w:val="16"/>
          <w:szCs w:val="16"/>
        </w:rPr>
        <w:t>totalling</w:t>
      </w:r>
      <w:proofErr w:type="spellEnd"/>
      <w:r>
        <w:rPr>
          <w:sz w:val="16"/>
          <w:szCs w:val="16"/>
        </w:rPr>
        <w:t xml:space="preserve"> 3.67 </w:t>
      </w:r>
      <w:proofErr w:type="spellStart"/>
      <w:r>
        <w:rPr>
          <w:sz w:val="16"/>
          <w:szCs w:val="16"/>
        </w:rPr>
        <w:t>lbs</w:t>
      </w:r>
      <w:proofErr w:type="spellEnd"/>
      <w:r>
        <w:rPr>
          <w:sz w:val="16"/>
          <w:szCs w:val="16"/>
        </w:rPr>
        <w:t xml:space="preserve"> of CO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</w:t>
      </w:r>
      <w:hyperlink r:id="rId4">
        <w:r>
          <w:rPr>
            <w:color w:val="1155CC"/>
            <w:sz w:val="16"/>
            <w:szCs w:val="16"/>
            <w:u w:val="single"/>
          </w:rPr>
          <w:t xml:space="preserve">1 </w:t>
        </w:r>
        <w:r>
          <w:rPr>
            <w:color w:val="1155CC"/>
            <w:sz w:val="16"/>
            <w:szCs w:val="16"/>
            <w:u w:val="single"/>
          </w:rPr>
          <w:t xml:space="preserve">ton of coal at </w:t>
        </w:r>
        <w:proofErr w:type="gramStart"/>
        <w:r>
          <w:rPr>
            <w:color w:val="1155CC"/>
            <w:sz w:val="16"/>
            <w:szCs w:val="16"/>
            <w:u w:val="single"/>
          </w:rPr>
          <w:t>a 78</w:t>
        </w:r>
        <w:proofErr w:type="gramEnd"/>
        <w:r>
          <w:rPr>
            <w:color w:val="1155CC"/>
            <w:sz w:val="16"/>
            <w:szCs w:val="16"/>
            <w:u w:val="single"/>
          </w:rPr>
          <w:t>% carbon content will produce 2.86 tons of CO</w:t>
        </w:r>
      </w:hyperlink>
      <w:hyperlink r:id="rId5">
        <w:r>
          <w:rPr>
            <w:color w:val="1155CC"/>
            <w:sz w:val="16"/>
            <w:szCs w:val="16"/>
            <w:u w:val="single"/>
            <w:vertAlign w:val="subscript"/>
          </w:rPr>
          <w:t>2</w:t>
        </w:r>
      </w:hyperlink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B12"/>
    <w:multiLevelType w:val="multilevel"/>
    <w:tmpl w:val="B76C5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EE7"/>
    <w:rsid w:val="00755EE7"/>
    <w:rsid w:val="0095528D"/>
    <w:rsid w:val="00D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ia.gov/coal/production/quarterly/co2_article/co2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ia.gov/tools/faqs/faq.cfm?id=667&amp;t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solarscorecard.com%2F2014%2F2014-scorecard.php&amp;sa=D&amp;sntz=1&amp;usg=AFQjCNHvj0mbJSk1W0LGdm8msBYQCLfB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rel.gov/docs/fy13osti/56776.pdf" TargetMode="External"/><Relationship Id="rId10" Type="http://schemas.openxmlformats.org/officeDocument/2006/relationships/hyperlink" Target="http://www.solarscorecard.com/2014/2014-scorecard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olairegeneration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a.gov/tools/faqs/faq.cfm?id=667&amp;t=2" TargetMode="External"/><Relationship Id="rId2" Type="http://schemas.openxmlformats.org/officeDocument/2006/relationships/hyperlink" Target="http://www.nrel.gov/docs/fy13osti/56776.pdf" TargetMode="External"/><Relationship Id="rId1" Type="http://schemas.openxmlformats.org/officeDocument/2006/relationships/hyperlink" Target="http://solairegeneration.com/" TargetMode="External"/><Relationship Id="rId5" Type="http://schemas.openxmlformats.org/officeDocument/2006/relationships/hyperlink" Target="http://www.eia.gov/coal/production/quarterly/co2_article/co2.html" TargetMode="External"/><Relationship Id="rId4" Type="http://schemas.openxmlformats.org/officeDocument/2006/relationships/hyperlink" Target="http://www.eia.gov/coal/production/quarterly/co2_article/co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2015-08-05T19:24:00Z</dcterms:created>
  <dcterms:modified xsi:type="dcterms:W3CDTF">2015-08-05T19:24:00Z</dcterms:modified>
</cp:coreProperties>
</file>