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32B" w:rsidRDefault="009E4401" w:rsidP="001554EB">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noProof w:val="0"/>
        </w:rPr>
      </w:pPr>
      <w:r w:rsidRPr="00092E08">
        <w:rPr>
          <w:rFonts w:ascii="Arial" w:hAnsi="Arial" w:cs="Arial"/>
        </w:rPr>
        <w:drawing>
          <wp:inline distT="0" distB="0" distL="0" distR="0">
            <wp:extent cx="3911600" cy="1239520"/>
            <wp:effectExtent l="0" t="0" r="0" b="0"/>
            <wp:docPr id="1" name="Picture 0" descr="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mage0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11600" cy="1239520"/>
                    </a:xfrm>
                    <a:prstGeom prst="rect">
                      <a:avLst/>
                    </a:prstGeom>
                    <a:noFill/>
                    <a:ln>
                      <a:noFill/>
                    </a:ln>
                  </pic:spPr>
                </pic:pic>
              </a:graphicData>
            </a:graphic>
          </wp:inline>
        </w:drawing>
      </w:r>
    </w:p>
    <w:p w:rsidR="00F01A82" w:rsidRPr="00E404D0" w:rsidRDefault="00F01A82" w:rsidP="001554EB">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Calibri" w:hAnsi="Calibri" w:cs="Arial"/>
          <w:b/>
          <w:noProof w:val="0"/>
          <w:sz w:val="28"/>
          <w:szCs w:val="28"/>
        </w:rPr>
      </w:pPr>
      <w:r w:rsidRPr="00E404D0">
        <w:rPr>
          <w:rFonts w:ascii="Calibri" w:hAnsi="Calibri" w:cs="Arial"/>
          <w:b/>
          <w:noProof w:val="0"/>
          <w:sz w:val="28"/>
          <w:szCs w:val="28"/>
        </w:rPr>
        <w:t>Wallowa-Whitman National Forest</w:t>
      </w:r>
      <w:bookmarkStart w:id="0" w:name="_GoBack"/>
      <w:bookmarkEnd w:id="0"/>
    </w:p>
    <w:p w:rsidR="001554EB" w:rsidRPr="00E404D0" w:rsidRDefault="001554EB" w:rsidP="001554EB">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Calibri" w:hAnsi="Calibri" w:cs="Arial"/>
          <w:noProof w:val="0"/>
          <w:sz w:val="28"/>
          <w:szCs w:val="28"/>
        </w:rPr>
      </w:pPr>
    </w:p>
    <w:p w:rsidR="001554EB" w:rsidRPr="00E404D0" w:rsidRDefault="001554EB" w:rsidP="001554EB">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Calibri" w:hAnsi="Calibri" w:cs="Arial"/>
          <w:b/>
          <w:noProof w:val="0"/>
          <w:sz w:val="32"/>
          <w:szCs w:val="32"/>
          <w:u w:val="single"/>
        </w:rPr>
      </w:pPr>
      <w:r w:rsidRPr="00E404D0">
        <w:rPr>
          <w:rFonts w:ascii="Calibri" w:hAnsi="Calibri" w:cs="Arial"/>
          <w:b/>
          <w:noProof w:val="0"/>
          <w:sz w:val="32"/>
          <w:szCs w:val="32"/>
          <w:u w:val="single"/>
        </w:rPr>
        <w:t>OUTREACH</w:t>
      </w:r>
      <w:r w:rsidR="00372F94" w:rsidRPr="00E404D0">
        <w:rPr>
          <w:rFonts w:ascii="Calibri" w:hAnsi="Calibri" w:cs="Arial"/>
          <w:b/>
          <w:noProof w:val="0"/>
          <w:sz w:val="32"/>
          <w:szCs w:val="32"/>
          <w:u w:val="single"/>
        </w:rPr>
        <w:t xml:space="preserve"> NOTICE</w:t>
      </w:r>
    </w:p>
    <w:p w:rsidR="00372F94" w:rsidRPr="00E404D0" w:rsidRDefault="009F3F83" w:rsidP="001554EB">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Calibri" w:hAnsi="Calibri" w:cs="Arial"/>
          <w:b/>
          <w:noProof w:val="0"/>
          <w:sz w:val="32"/>
          <w:szCs w:val="32"/>
        </w:rPr>
      </w:pPr>
      <w:r>
        <w:rPr>
          <w:rFonts w:ascii="Calibri" w:hAnsi="Calibri" w:cs="Arial"/>
          <w:b/>
          <w:noProof w:val="0"/>
          <w:sz w:val="32"/>
          <w:szCs w:val="32"/>
        </w:rPr>
        <w:t xml:space="preserve">Blue Mountains </w:t>
      </w:r>
      <w:r w:rsidR="00D93E71">
        <w:rPr>
          <w:rFonts w:ascii="Calibri" w:hAnsi="Calibri" w:cs="Arial"/>
          <w:b/>
          <w:noProof w:val="0"/>
          <w:sz w:val="32"/>
          <w:szCs w:val="32"/>
        </w:rPr>
        <w:t>Ecologist</w:t>
      </w:r>
    </w:p>
    <w:p w:rsidR="001554EB" w:rsidRPr="00E404D0" w:rsidRDefault="00372F94" w:rsidP="001554EB">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Calibri" w:hAnsi="Calibri" w:cs="Arial"/>
          <w:noProof w:val="0"/>
          <w:sz w:val="32"/>
          <w:szCs w:val="32"/>
        </w:rPr>
      </w:pPr>
      <w:r w:rsidRPr="00E404D0">
        <w:rPr>
          <w:rFonts w:ascii="Calibri" w:hAnsi="Calibri" w:cs="Arial"/>
          <w:b/>
          <w:noProof w:val="0"/>
          <w:sz w:val="32"/>
          <w:szCs w:val="32"/>
        </w:rPr>
        <w:t>GS-</w:t>
      </w:r>
      <w:r w:rsidR="004A4209">
        <w:rPr>
          <w:rFonts w:ascii="Calibri" w:hAnsi="Calibri" w:cs="Arial"/>
          <w:b/>
          <w:noProof w:val="0"/>
          <w:sz w:val="32"/>
          <w:szCs w:val="32"/>
        </w:rPr>
        <w:t>0408</w:t>
      </w:r>
      <w:r w:rsidR="009F3F83">
        <w:rPr>
          <w:rFonts w:ascii="Calibri" w:hAnsi="Calibri" w:cs="Arial"/>
          <w:b/>
          <w:noProof w:val="0"/>
          <w:sz w:val="32"/>
          <w:szCs w:val="32"/>
        </w:rPr>
        <w:t>-11</w:t>
      </w:r>
    </w:p>
    <w:p w:rsidR="000E6F47" w:rsidRPr="00E404D0" w:rsidRDefault="00683FEF" w:rsidP="00683FEF">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Calibri" w:hAnsi="Calibri" w:cs="Arial"/>
          <w:b/>
          <w:noProof w:val="0"/>
          <w:sz w:val="32"/>
          <w:szCs w:val="32"/>
        </w:rPr>
      </w:pPr>
      <w:r w:rsidRPr="00E404D0">
        <w:rPr>
          <w:rFonts w:ascii="Calibri" w:hAnsi="Calibri" w:cs="Arial"/>
          <w:b/>
          <w:noProof w:val="0"/>
          <w:sz w:val="32"/>
          <w:szCs w:val="32"/>
        </w:rPr>
        <w:t>Baker City, OR</w:t>
      </w:r>
    </w:p>
    <w:p w:rsidR="000E6F47" w:rsidRPr="00E404D0" w:rsidRDefault="000E6F47" w:rsidP="001554EB">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Calibri" w:hAnsi="Calibri" w:cs="Arial"/>
          <w:noProof w:val="0"/>
          <w:sz w:val="28"/>
          <w:szCs w:val="28"/>
        </w:rPr>
      </w:pPr>
    </w:p>
    <w:p w:rsidR="001554EB" w:rsidRDefault="000E6F47" w:rsidP="001554EB">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Calibri" w:hAnsi="Calibri" w:cs="Arial"/>
          <w:b/>
          <w:noProof w:val="0"/>
        </w:rPr>
      </w:pPr>
      <w:r w:rsidRPr="00E404D0">
        <w:rPr>
          <w:rFonts w:ascii="Calibri" w:hAnsi="Calibri"/>
        </w:rPr>
        <w:t xml:space="preserve"> </w:t>
      </w:r>
      <w:r w:rsidRPr="00E404D0">
        <w:rPr>
          <w:rFonts w:ascii="Calibri" w:hAnsi="Calibri" w:cs="Arial"/>
          <w:b/>
          <w:noProof w:val="0"/>
        </w:rPr>
        <w:t>USDA Forest Service is an equal employment opportunity employer.</w:t>
      </w:r>
    </w:p>
    <w:p w:rsidR="000E6F47" w:rsidRPr="00E404D0" w:rsidRDefault="000E6F47" w:rsidP="00061326">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alibri" w:hAnsi="Calibri" w:cs="Arial"/>
          <w:b/>
          <w:noProof w:val="0"/>
        </w:rPr>
      </w:pPr>
    </w:p>
    <w:p w:rsidR="008E4759" w:rsidRDefault="00380584" w:rsidP="001554EB">
      <w:pPr>
        <w:rPr>
          <w:rFonts w:ascii="Calibri" w:hAnsi="Calibri"/>
          <w:sz w:val="22"/>
          <w:szCs w:val="22"/>
        </w:rPr>
      </w:pPr>
      <w:r w:rsidRPr="00CE411A">
        <w:rPr>
          <w:rFonts w:ascii="Calibri" w:hAnsi="Calibri"/>
          <w:sz w:val="22"/>
          <w:szCs w:val="22"/>
        </w:rPr>
        <w:t>The Malheur, Umatilla and Wallowa-Whitman National Forests</w:t>
      </w:r>
      <w:r w:rsidR="00926837">
        <w:rPr>
          <w:rFonts w:ascii="Calibri" w:hAnsi="Calibri"/>
          <w:sz w:val="22"/>
          <w:szCs w:val="22"/>
        </w:rPr>
        <w:t xml:space="preserve"> </w:t>
      </w:r>
      <w:r w:rsidR="009E711C">
        <w:rPr>
          <w:rFonts w:ascii="Calibri" w:hAnsi="Calibri"/>
          <w:sz w:val="22"/>
          <w:szCs w:val="22"/>
        </w:rPr>
        <w:t xml:space="preserve">(Bue Mountains Forests) </w:t>
      </w:r>
      <w:r w:rsidRPr="00CE411A">
        <w:rPr>
          <w:rFonts w:ascii="Calibri" w:hAnsi="Calibri"/>
          <w:sz w:val="22"/>
          <w:szCs w:val="22"/>
        </w:rPr>
        <w:t>are</w:t>
      </w:r>
      <w:r w:rsidRPr="00E07965">
        <w:rPr>
          <w:i/>
        </w:rPr>
        <w:t xml:space="preserve"> </w:t>
      </w:r>
      <w:r w:rsidRPr="002A5CB0">
        <w:rPr>
          <w:rFonts w:ascii="Calibri" w:hAnsi="Calibri"/>
          <w:sz w:val="22"/>
          <w:szCs w:val="22"/>
        </w:rPr>
        <w:t>outreaching to potential candidates for an exciting and rew</w:t>
      </w:r>
      <w:r w:rsidR="009F3F83">
        <w:rPr>
          <w:rFonts w:ascii="Calibri" w:hAnsi="Calibri"/>
          <w:sz w:val="22"/>
          <w:szCs w:val="22"/>
        </w:rPr>
        <w:t xml:space="preserve">arding challenge as a GS-0408-11 </w:t>
      </w:r>
      <w:r w:rsidRPr="002A5CB0">
        <w:rPr>
          <w:rFonts w:ascii="Calibri" w:hAnsi="Calibri"/>
          <w:sz w:val="22"/>
          <w:szCs w:val="22"/>
        </w:rPr>
        <w:t>Ecologist</w:t>
      </w:r>
      <w:r w:rsidR="00926837">
        <w:rPr>
          <w:rFonts w:ascii="Calibri" w:hAnsi="Calibri"/>
          <w:sz w:val="22"/>
          <w:szCs w:val="22"/>
        </w:rPr>
        <w:t xml:space="preserve"> for the Northeast Oregon Area Ecology Program</w:t>
      </w:r>
      <w:r w:rsidR="000A1C7A">
        <w:rPr>
          <w:rFonts w:ascii="Calibri" w:hAnsi="Calibri"/>
          <w:sz w:val="22"/>
          <w:szCs w:val="22"/>
        </w:rPr>
        <w:t>. The duty station for this permanent, full-time opportunity is located in beautiful and historic Baker City, Oregon (</w:t>
      </w:r>
      <w:hyperlink r:id="rId8" w:history="1">
        <w:r w:rsidR="000A1C7A" w:rsidRPr="007446F4">
          <w:rPr>
            <w:rStyle w:val="Hyperlink"/>
            <w:rFonts w:ascii="Calibri" w:hAnsi="Calibri"/>
            <w:sz w:val="22"/>
            <w:szCs w:val="22"/>
          </w:rPr>
          <w:t>http://www.visitbaker.com/</w:t>
        </w:r>
      </w:hyperlink>
      <w:r w:rsidR="000A1C7A">
        <w:rPr>
          <w:rFonts w:ascii="Calibri" w:hAnsi="Calibri"/>
          <w:sz w:val="22"/>
          <w:szCs w:val="22"/>
        </w:rPr>
        <w:t>).</w:t>
      </w:r>
    </w:p>
    <w:p w:rsidR="00061326" w:rsidRDefault="00061326" w:rsidP="001554EB">
      <w:pPr>
        <w:rPr>
          <w:rFonts w:ascii="Calibri" w:hAnsi="Calibri"/>
          <w:sz w:val="22"/>
          <w:szCs w:val="22"/>
        </w:rPr>
      </w:pPr>
    </w:p>
    <w:p w:rsidR="00061326" w:rsidRPr="00611DE4" w:rsidRDefault="00061326" w:rsidP="00061326">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20"/>
        <w:rPr>
          <w:rFonts w:ascii="Calibri" w:hAnsi="Calibri" w:cs="Calibri"/>
          <w:sz w:val="22"/>
          <w:szCs w:val="22"/>
        </w:rPr>
      </w:pPr>
      <w:r w:rsidRPr="006C2323">
        <w:rPr>
          <w:rFonts w:ascii="Calibri" w:hAnsi="Calibri" w:cs="Calibri"/>
          <w:sz w:val="22"/>
          <w:szCs w:val="22"/>
        </w:rPr>
        <w:t>This notification is being circulated to inform prospective a</w:t>
      </w:r>
      <w:r>
        <w:rPr>
          <w:rFonts w:ascii="Calibri" w:hAnsi="Calibri" w:cs="Calibri"/>
          <w:sz w:val="22"/>
          <w:szCs w:val="22"/>
        </w:rPr>
        <w:t>nd interested applicants of the following potential opportunities:</w:t>
      </w:r>
    </w:p>
    <w:p w:rsidR="00061326" w:rsidRPr="00230A07" w:rsidRDefault="009D4832" w:rsidP="00061326">
      <w:pPr>
        <w:numPr>
          <w:ilvl w:val="0"/>
          <w:numId w:val="1"/>
        </w:numPr>
        <w:rPr>
          <w:rFonts w:ascii="Calibri" w:eastAsia="Calibri" w:hAnsi="Calibri"/>
          <w:sz w:val="22"/>
          <w:szCs w:val="22"/>
        </w:rPr>
      </w:pPr>
      <w:r>
        <w:rPr>
          <w:rFonts w:ascii="Calibri" w:eastAsia="Calibri" w:hAnsi="Calibri"/>
          <w:sz w:val="22"/>
          <w:szCs w:val="22"/>
        </w:rPr>
        <w:t>120</w:t>
      </w:r>
      <w:r w:rsidR="00061326" w:rsidRPr="00BE6213">
        <w:rPr>
          <w:rFonts w:ascii="Calibri" w:eastAsia="Calibri" w:hAnsi="Calibri"/>
          <w:sz w:val="22"/>
          <w:szCs w:val="22"/>
        </w:rPr>
        <w:t>-Day</w:t>
      </w:r>
      <w:r w:rsidR="00061326">
        <w:rPr>
          <w:rFonts w:ascii="Calibri" w:eastAsia="Calibri" w:hAnsi="Calibri"/>
          <w:sz w:val="22"/>
          <w:szCs w:val="22"/>
        </w:rPr>
        <w:t xml:space="preserve"> Temporary Promotion (beginning as early as June 11)</w:t>
      </w:r>
    </w:p>
    <w:p w:rsidR="00061326" w:rsidRDefault="00061326" w:rsidP="00061326">
      <w:pPr>
        <w:numPr>
          <w:ilvl w:val="0"/>
          <w:numId w:val="1"/>
        </w:numPr>
        <w:rPr>
          <w:rFonts w:ascii="Calibri" w:eastAsia="Calibri" w:hAnsi="Calibri"/>
          <w:sz w:val="22"/>
          <w:szCs w:val="22"/>
        </w:rPr>
      </w:pPr>
      <w:r>
        <w:rPr>
          <w:rFonts w:ascii="Calibri" w:eastAsia="Calibri" w:hAnsi="Calibri"/>
          <w:sz w:val="22"/>
          <w:szCs w:val="22"/>
        </w:rPr>
        <w:t>Not to Exceed 1 Year Temporary Promotion or Detail</w:t>
      </w:r>
    </w:p>
    <w:p w:rsidR="00061326" w:rsidRPr="00BE6213" w:rsidRDefault="00061326" w:rsidP="00061326">
      <w:pPr>
        <w:numPr>
          <w:ilvl w:val="0"/>
          <w:numId w:val="1"/>
        </w:numPr>
        <w:rPr>
          <w:rFonts w:ascii="Calibri" w:eastAsia="Calibri" w:hAnsi="Calibri"/>
          <w:sz w:val="22"/>
          <w:szCs w:val="22"/>
        </w:rPr>
      </w:pPr>
      <w:r>
        <w:rPr>
          <w:rFonts w:ascii="Calibri" w:eastAsia="Calibri" w:hAnsi="Calibri"/>
          <w:sz w:val="22"/>
          <w:szCs w:val="22"/>
        </w:rPr>
        <w:t>Permanent, Competitive Assignment</w:t>
      </w:r>
    </w:p>
    <w:p w:rsidR="00061326" w:rsidRDefault="00061326" w:rsidP="00061326">
      <w:pPr>
        <w:numPr>
          <w:ilvl w:val="0"/>
          <w:numId w:val="1"/>
        </w:numPr>
        <w:rPr>
          <w:rFonts w:ascii="Calibri" w:eastAsia="Calibri" w:hAnsi="Calibri"/>
          <w:sz w:val="22"/>
          <w:szCs w:val="22"/>
        </w:rPr>
      </w:pPr>
      <w:r>
        <w:rPr>
          <w:rFonts w:ascii="Calibri" w:eastAsia="Calibri" w:hAnsi="Calibri"/>
          <w:sz w:val="22"/>
          <w:szCs w:val="22"/>
        </w:rPr>
        <w:t xml:space="preserve">Permanent, Lateral </w:t>
      </w:r>
      <w:r w:rsidRPr="00BE6213">
        <w:rPr>
          <w:rFonts w:ascii="Calibri" w:eastAsia="Calibri" w:hAnsi="Calibri"/>
          <w:sz w:val="22"/>
          <w:szCs w:val="22"/>
        </w:rPr>
        <w:t>Reassignment</w:t>
      </w:r>
      <w:r>
        <w:rPr>
          <w:rFonts w:ascii="Calibri" w:eastAsia="Calibri" w:hAnsi="Calibri"/>
          <w:sz w:val="22"/>
          <w:szCs w:val="22"/>
        </w:rPr>
        <w:t xml:space="preserve"> (for current GS-11</w:t>
      </w:r>
      <w:r w:rsidRPr="00BE6213">
        <w:rPr>
          <w:rFonts w:ascii="Calibri" w:eastAsia="Calibri" w:hAnsi="Calibri"/>
          <w:sz w:val="22"/>
          <w:szCs w:val="22"/>
        </w:rPr>
        <w:t xml:space="preserve"> employee</w:t>
      </w:r>
      <w:r>
        <w:rPr>
          <w:rFonts w:ascii="Calibri" w:eastAsia="Calibri" w:hAnsi="Calibri"/>
          <w:sz w:val="22"/>
          <w:szCs w:val="22"/>
        </w:rPr>
        <w:t>s</w:t>
      </w:r>
      <w:r w:rsidRPr="00BE6213">
        <w:rPr>
          <w:rFonts w:ascii="Calibri" w:eastAsia="Calibri" w:hAnsi="Calibri"/>
          <w:sz w:val="22"/>
          <w:szCs w:val="22"/>
        </w:rPr>
        <w:t>)</w:t>
      </w:r>
    </w:p>
    <w:p w:rsidR="000A1C7A" w:rsidRDefault="000A1C7A" w:rsidP="001554EB">
      <w:pPr>
        <w:rPr>
          <w:rFonts w:ascii="Calibri" w:hAnsi="Calibri"/>
          <w:sz w:val="22"/>
          <w:szCs w:val="22"/>
        </w:rPr>
      </w:pPr>
    </w:p>
    <w:p w:rsidR="008E4759" w:rsidRDefault="00156CDF" w:rsidP="001554EB">
      <w:pPr>
        <w:rPr>
          <w:rFonts w:ascii="Calibri" w:hAnsi="Calibri" w:cs="Arial"/>
          <w:b/>
          <w:noProof w:val="0"/>
          <w:sz w:val="22"/>
          <w:szCs w:val="22"/>
        </w:rPr>
      </w:pPr>
      <w:r w:rsidRPr="00156CDF">
        <w:rPr>
          <w:rFonts w:ascii="Calibri" w:hAnsi="Calibri" w:cs="Arial"/>
          <w:b/>
          <w:noProof w:val="0"/>
          <w:sz w:val="22"/>
          <w:szCs w:val="22"/>
        </w:rPr>
        <w:t>Please Respond by May 14, 2018 if you are interested in any of these opportunities by:</w:t>
      </w:r>
    </w:p>
    <w:p w:rsidR="00156CDF" w:rsidRPr="00E77A24" w:rsidRDefault="00156CDF" w:rsidP="00E77A24">
      <w:pPr>
        <w:pStyle w:val="axNormal"/>
        <w:widowControl/>
        <w:numPr>
          <w:ilvl w:val="0"/>
          <w:numId w:val="2"/>
        </w:numPr>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alibri" w:hAnsi="Calibri" w:cs="Arial"/>
          <w:noProof w:val="0"/>
          <w:sz w:val="22"/>
          <w:szCs w:val="22"/>
        </w:rPr>
      </w:pPr>
      <w:r>
        <w:rPr>
          <w:rFonts w:ascii="Calibri" w:hAnsi="Calibri" w:cs="Arial"/>
          <w:noProof w:val="0"/>
          <w:sz w:val="22"/>
          <w:szCs w:val="22"/>
        </w:rPr>
        <w:t xml:space="preserve">Responding to the Outreach Database </w:t>
      </w:r>
      <w:r w:rsidRPr="00E77A24">
        <w:rPr>
          <w:rFonts w:ascii="Calibri" w:hAnsi="Calibri" w:cs="Arial"/>
          <w:noProof w:val="0"/>
          <w:sz w:val="22"/>
          <w:szCs w:val="22"/>
        </w:rPr>
        <w:t>(</w:t>
      </w:r>
      <w:hyperlink r:id="rId9" w:history="1">
        <w:r w:rsidR="00E77A24" w:rsidRPr="00924C7C">
          <w:rPr>
            <w:rStyle w:val="Hyperlink"/>
            <w:rFonts w:ascii="Calibri" w:hAnsi="Calibri" w:cs="Arial"/>
            <w:noProof w:val="0"/>
            <w:sz w:val="22"/>
            <w:szCs w:val="22"/>
          </w:rPr>
          <w:t>https://fsoutreach.gdcii.com?id=6326705F35AE423997B22514C5CCB2BA</w:t>
        </w:r>
      </w:hyperlink>
      <w:r w:rsidR="00E77A24">
        <w:rPr>
          <w:rFonts w:ascii="Calibri" w:hAnsi="Calibri" w:cs="Arial"/>
          <w:noProof w:val="0"/>
          <w:sz w:val="22"/>
          <w:szCs w:val="22"/>
        </w:rPr>
        <w:t xml:space="preserve">) </w:t>
      </w:r>
      <w:r w:rsidR="00E77A24" w:rsidRPr="00E77A24">
        <w:rPr>
          <w:rFonts w:ascii="Calibri" w:hAnsi="Calibri" w:cs="Arial"/>
          <w:b/>
          <w:noProof w:val="0"/>
          <w:sz w:val="22"/>
          <w:szCs w:val="22"/>
          <w:u w:val="single"/>
        </w:rPr>
        <w:t>and</w:t>
      </w:r>
    </w:p>
    <w:p w:rsidR="002335B9" w:rsidRDefault="00156CDF" w:rsidP="00156CDF">
      <w:pPr>
        <w:pStyle w:val="axNormal"/>
        <w:widowControl/>
        <w:numPr>
          <w:ilvl w:val="0"/>
          <w:numId w:val="2"/>
        </w:numPr>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alibri" w:hAnsi="Calibri" w:cs="Arial"/>
          <w:noProof w:val="0"/>
          <w:sz w:val="22"/>
          <w:szCs w:val="22"/>
        </w:rPr>
      </w:pPr>
      <w:r>
        <w:rPr>
          <w:rFonts w:ascii="Calibri" w:hAnsi="Calibri" w:cs="Arial"/>
          <w:noProof w:val="0"/>
          <w:sz w:val="22"/>
          <w:szCs w:val="22"/>
        </w:rPr>
        <w:t xml:space="preserve">Submitting the </w:t>
      </w:r>
      <w:r>
        <w:rPr>
          <w:rFonts w:ascii="Calibri" w:hAnsi="Calibri" w:cs="Calibri"/>
          <w:sz w:val="22"/>
          <w:szCs w:val="22"/>
        </w:rPr>
        <w:t xml:space="preserve">Outreach Response Form below </w:t>
      </w:r>
      <w:r w:rsidRPr="005639DE">
        <w:rPr>
          <w:rFonts w:ascii="Calibri" w:hAnsi="Calibri" w:cs="Calibri"/>
          <w:sz w:val="22"/>
          <w:szCs w:val="22"/>
          <w:u w:val="single"/>
        </w:rPr>
        <w:t>and</w:t>
      </w:r>
      <w:r>
        <w:rPr>
          <w:rFonts w:ascii="Calibri" w:hAnsi="Calibri" w:cs="Calibri"/>
          <w:sz w:val="22"/>
          <w:szCs w:val="22"/>
        </w:rPr>
        <w:t xml:space="preserve"> </w:t>
      </w:r>
      <w:r w:rsidRPr="006C2323">
        <w:rPr>
          <w:rFonts w:ascii="Calibri" w:hAnsi="Calibri" w:cs="Calibri"/>
          <w:sz w:val="22"/>
          <w:szCs w:val="22"/>
        </w:rPr>
        <w:t>Resume</w:t>
      </w:r>
      <w:r>
        <w:rPr>
          <w:rFonts w:ascii="Calibri" w:hAnsi="Calibri" w:cs="Calibri"/>
          <w:sz w:val="22"/>
          <w:szCs w:val="22"/>
        </w:rPr>
        <w:t xml:space="preserve"> to Area Ecologist (</w:t>
      </w:r>
      <w:hyperlink r:id="rId10" w:history="1">
        <w:r w:rsidRPr="00081B98">
          <w:rPr>
            <w:rStyle w:val="Hyperlink"/>
            <w:rFonts w:ascii="Calibri" w:hAnsi="Calibri" w:cs="Arial"/>
            <w:noProof w:val="0"/>
            <w:sz w:val="22"/>
            <w:szCs w:val="22"/>
          </w:rPr>
          <w:t>ucwijayratne@fs.fed.us</w:t>
        </w:r>
      </w:hyperlink>
      <w:r>
        <w:rPr>
          <w:rFonts w:ascii="Calibri" w:hAnsi="Calibri" w:cs="Arial"/>
          <w:noProof w:val="0"/>
          <w:sz w:val="22"/>
          <w:szCs w:val="22"/>
        </w:rPr>
        <w:t>).</w:t>
      </w:r>
    </w:p>
    <w:p w:rsidR="002335B9" w:rsidRDefault="002335B9" w:rsidP="002335B9">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alibri" w:hAnsi="Calibri" w:cs="Arial"/>
          <w:noProof w:val="0"/>
          <w:sz w:val="22"/>
          <w:szCs w:val="22"/>
        </w:rPr>
      </w:pPr>
    </w:p>
    <w:p w:rsidR="00156CDF" w:rsidRPr="002335B9" w:rsidRDefault="002335B9" w:rsidP="002335B9">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alibri" w:hAnsi="Calibri" w:cs="Arial"/>
          <w:noProof w:val="0"/>
          <w:color w:val="auto"/>
          <w:sz w:val="22"/>
          <w:szCs w:val="22"/>
        </w:rPr>
      </w:pPr>
      <w:r w:rsidRPr="002335B9">
        <w:rPr>
          <w:rFonts w:ascii="Calibri" w:hAnsi="Calibri" w:cs="Calibri"/>
          <w:color w:val="auto"/>
          <w:sz w:val="22"/>
          <w:szCs w:val="22"/>
        </w:rPr>
        <w:t>Depending on how the Forest decides to proceed following this Outreach, the timing for potentially advertising the permanent position in USAJobs will be dependent on the hiring exemption request process. Candidates who respond to the Outreach Database will be notified if/when the position is advertised in USAJobs.</w:t>
      </w:r>
      <w:r w:rsidR="00156CDF" w:rsidRPr="002335B9">
        <w:rPr>
          <w:rFonts w:ascii="Calibri" w:hAnsi="Calibri" w:cs="Calibri"/>
          <w:color w:val="auto"/>
          <w:sz w:val="22"/>
          <w:szCs w:val="22"/>
        </w:rPr>
        <w:t xml:space="preserve"> </w:t>
      </w:r>
      <w:r w:rsidR="00156CDF" w:rsidRPr="002335B9">
        <w:rPr>
          <w:rFonts w:ascii="Calibri" w:hAnsi="Calibri" w:cs="Arial"/>
          <w:noProof w:val="0"/>
          <w:color w:val="auto"/>
          <w:sz w:val="22"/>
          <w:szCs w:val="22"/>
        </w:rPr>
        <w:t xml:space="preserve"> </w:t>
      </w:r>
    </w:p>
    <w:p w:rsidR="00156CDF" w:rsidRDefault="00156CDF" w:rsidP="001554EB">
      <w:pPr>
        <w:rPr>
          <w:rStyle w:val="Unhide"/>
          <w:rFonts w:ascii="Calibri" w:hAnsi="Calibri"/>
          <w:sz w:val="22"/>
          <w:szCs w:val="22"/>
        </w:rPr>
      </w:pPr>
    </w:p>
    <w:p w:rsidR="00332082" w:rsidRPr="00E404D0" w:rsidRDefault="00222807" w:rsidP="003E13E9">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alibri" w:hAnsi="Calibri" w:cs="Arial"/>
          <w:noProof w:val="0"/>
          <w:sz w:val="22"/>
          <w:szCs w:val="22"/>
        </w:rPr>
      </w:pPr>
      <w:r>
        <w:rPr>
          <w:rFonts w:ascii="Calibri" w:hAnsi="Calibri" w:cs="Arial"/>
          <w:noProof w:val="0"/>
          <w:sz w:val="22"/>
          <w:szCs w:val="22"/>
        </w:rPr>
        <w:t>From more information about the position please contact</w:t>
      </w:r>
      <w:r w:rsidR="00A94E3A">
        <w:rPr>
          <w:rFonts w:ascii="Calibri" w:hAnsi="Calibri" w:cs="Arial"/>
          <w:noProof w:val="0"/>
          <w:sz w:val="22"/>
          <w:szCs w:val="22"/>
        </w:rPr>
        <w:t xml:space="preserve"> </w:t>
      </w:r>
      <w:r w:rsidR="009E711C">
        <w:rPr>
          <w:rFonts w:ascii="Calibri" w:hAnsi="Calibri" w:cs="Arial"/>
          <w:noProof w:val="0"/>
          <w:sz w:val="22"/>
          <w:szCs w:val="22"/>
        </w:rPr>
        <w:t>Upekala Wijayrat</w:t>
      </w:r>
      <w:r>
        <w:rPr>
          <w:rFonts w:ascii="Calibri" w:hAnsi="Calibri" w:cs="Arial"/>
          <w:noProof w:val="0"/>
          <w:sz w:val="22"/>
          <w:szCs w:val="22"/>
        </w:rPr>
        <w:t>ne at 541-523-1211.</w:t>
      </w:r>
    </w:p>
    <w:p w:rsidR="001554EB" w:rsidRPr="00E404D0" w:rsidRDefault="001554EB" w:rsidP="001554EB">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Calibri" w:hAnsi="Calibri" w:cs="Arial"/>
          <w:noProof w:val="0"/>
          <w:sz w:val="22"/>
          <w:szCs w:val="22"/>
        </w:rPr>
      </w:pPr>
    </w:p>
    <w:p w:rsidR="00C14A47" w:rsidRPr="00E404D0" w:rsidRDefault="003E653A" w:rsidP="001554EB">
      <w:pPr>
        <w:rPr>
          <w:rFonts w:ascii="Calibri" w:hAnsi="Calibri"/>
          <w:b/>
          <w:i/>
        </w:rPr>
      </w:pPr>
      <w:r w:rsidRPr="00E404D0">
        <w:rPr>
          <w:rFonts w:ascii="Calibri" w:hAnsi="Calibri"/>
          <w:b/>
          <w:i/>
        </w:rPr>
        <w:t>The Position</w:t>
      </w:r>
    </w:p>
    <w:p w:rsidR="00E76239" w:rsidRPr="00E76239" w:rsidRDefault="00E76239" w:rsidP="00E76239">
      <w:pPr>
        <w:rPr>
          <w:rFonts w:ascii="Calibri" w:hAnsi="Calibri"/>
          <w:sz w:val="22"/>
          <w:szCs w:val="22"/>
        </w:rPr>
      </w:pPr>
      <w:r w:rsidRPr="00E76239">
        <w:rPr>
          <w:rFonts w:ascii="Calibri" w:hAnsi="Calibri"/>
          <w:sz w:val="22"/>
          <w:szCs w:val="22"/>
        </w:rPr>
        <w:t xml:space="preserve">Duties of the Ecology Program generally include working with various specialists and managers to effectively deliver applied science as well as monitoring resources such as riparian areas and landscape </w:t>
      </w:r>
      <w:r w:rsidRPr="00E76239">
        <w:rPr>
          <w:rFonts w:ascii="Calibri" w:hAnsi="Calibri"/>
          <w:sz w:val="22"/>
          <w:szCs w:val="22"/>
        </w:rPr>
        <w:lastRenderedPageBreak/>
        <w:t xml:space="preserve">patterns. This work is intended to help address challenging natural resources questions and issues encountered in the multiple-use management of public lands, partnering with researchers and other collaborative groups, and providing technology transfer. Examples of projects the Area Ecology Program has led or been involved in include riparian vegetation monitoring of restoration treatments, quantifying historical forest structure, analysis of vegetation data from range exclosures, critical input on modelling and interpreting historic range of variability for the Forest Plan Revision and its application; using and interpreting downscaled bark beetle risk maps to inform project prioritization, and assisting NEPA teams in the use of best available science for riparian restoration projects and allotment management plans.  </w:t>
      </w:r>
    </w:p>
    <w:p w:rsidR="00E76239" w:rsidRPr="00E76239" w:rsidRDefault="00E76239" w:rsidP="00E76239">
      <w:pPr>
        <w:rPr>
          <w:rFonts w:ascii="Calibri" w:hAnsi="Calibri"/>
          <w:sz w:val="22"/>
          <w:szCs w:val="22"/>
        </w:rPr>
      </w:pPr>
    </w:p>
    <w:p w:rsidR="00E76239" w:rsidRPr="00E76239" w:rsidRDefault="00E76239" w:rsidP="00E76239">
      <w:pPr>
        <w:rPr>
          <w:rFonts w:ascii="Calibri" w:hAnsi="Calibri"/>
          <w:sz w:val="22"/>
          <w:szCs w:val="22"/>
        </w:rPr>
      </w:pPr>
      <w:r w:rsidRPr="00E76239">
        <w:rPr>
          <w:rFonts w:ascii="Calibri" w:hAnsi="Calibri"/>
          <w:sz w:val="22"/>
          <w:szCs w:val="22"/>
        </w:rPr>
        <w:t xml:space="preserve">The position requires an ability to conceptualize, initiate, design and implement ecological projects; work at a variety of spatial and temporal scales; and be proficient in spatial modeling and database applications needed to maintain a viable and dynamic forest ecosystem. The incumbent monitors and evaluates the effects of management decisions on ecosystem components and processes within forested areas, and coordinates research projects with cooperators to develop further understanding of the processes of forest ecosystems. In addition, good communication and organizational skills in conducting workshops and trainings, presenting ecological information in a variety of contexts, and the ability to work as a team are necessary. </w:t>
      </w:r>
    </w:p>
    <w:p w:rsidR="00E76239" w:rsidRPr="00E76239" w:rsidRDefault="00E76239" w:rsidP="00E76239">
      <w:pPr>
        <w:rPr>
          <w:rFonts w:ascii="Calibri" w:hAnsi="Calibri"/>
          <w:sz w:val="22"/>
          <w:szCs w:val="22"/>
        </w:rPr>
      </w:pPr>
    </w:p>
    <w:p w:rsidR="009F6B65" w:rsidRDefault="00E76239" w:rsidP="00E76239">
      <w:pPr>
        <w:rPr>
          <w:rStyle w:val="Unhide"/>
          <w:rFonts w:ascii="Calibri" w:hAnsi="Calibri"/>
          <w:sz w:val="22"/>
          <w:szCs w:val="22"/>
        </w:rPr>
      </w:pPr>
      <w:r w:rsidRPr="00E76239">
        <w:rPr>
          <w:rFonts w:ascii="Calibri" w:hAnsi="Calibri"/>
          <w:sz w:val="22"/>
          <w:szCs w:val="22"/>
        </w:rPr>
        <w:t xml:space="preserve">As the Blue Mountains Forests continue moving forward with planning and implementing integrated and accelerated landscape restoration projects, critical internal and external questions will continue to emerge from our publics as well as our partners (e.g. Collaboratives and Regulatory Agencies). Successful candidates will bring solid training in vegetation ecology, a broad understanding of public lands natural resources management, and the ability to communicate key ecological aspects </w:t>
      </w:r>
      <w:r>
        <w:rPr>
          <w:rFonts w:ascii="Calibri" w:hAnsi="Calibri"/>
          <w:sz w:val="22"/>
          <w:szCs w:val="22"/>
        </w:rPr>
        <w:t>for land managers to consider.</w:t>
      </w:r>
    </w:p>
    <w:p w:rsidR="00961548" w:rsidRDefault="00961548" w:rsidP="001554EB">
      <w:pPr>
        <w:rPr>
          <w:rFonts w:ascii="Calibri" w:hAnsi="Calibri"/>
          <w:b/>
          <w:i/>
        </w:rPr>
      </w:pPr>
    </w:p>
    <w:p w:rsidR="00A62793" w:rsidRPr="00E404D0" w:rsidRDefault="00C93AC3" w:rsidP="001554EB">
      <w:pPr>
        <w:rPr>
          <w:rFonts w:ascii="Calibri" w:hAnsi="Calibri"/>
          <w:b/>
        </w:rPr>
      </w:pPr>
      <w:r w:rsidRPr="00E404D0">
        <w:rPr>
          <w:rFonts w:ascii="Calibri" w:hAnsi="Calibri"/>
          <w:b/>
          <w:i/>
        </w:rPr>
        <w:t>The Forest</w:t>
      </w:r>
    </w:p>
    <w:p w:rsidR="0025332B" w:rsidRPr="00E404D0" w:rsidRDefault="00027B99" w:rsidP="001554EB">
      <w:pPr>
        <w:rPr>
          <w:rFonts w:ascii="Calibri" w:hAnsi="Calibri"/>
          <w:sz w:val="22"/>
          <w:szCs w:val="22"/>
        </w:rPr>
      </w:pPr>
      <w:r w:rsidRPr="00E404D0">
        <w:rPr>
          <w:rFonts w:ascii="Calibri" w:hAnsi="Calibri"/>
          <w:sz w:val="22"/>
          <w:szCs w:val="22"/>
        </w:rPr>
        <w:t>The Wallowa-Whitman National Forest is one of the largest forests in Region 6 with four Ranger Districts and one National Recreation Area</w:t>
      </w:r>
      <w:r w:rsidR="00DA0FB3" w:rsidRPr="00E404D0">
        <w:rPr>
          <w:rFonts w:ascii="Calibri" w:hAnsi="Calibri"/>
          <w:sz w:val="22"/>
          <w:szCs w:val="22"/>
        </w:rPr>
        <w:t xml:space="preserve">. </w:t>
      </w:r>
      <w:r w:rsidR="001204A8" w:rsidRPr="00E404D0">
        <w:rPr>
          <w:rFonts w:ascii="Calibri" w:hAnsi="Calibri"/>
          <w:sz w:val="22"/>
          <w:szCs w:val="22"/>
        </w:rPr>
        <w:t xml:space="preserve"> </w:t>
      </w:r>
      <w:r w:rsidRPr="00E404D0">
        <w:rPr>
          <w:rFonts w:ascii="Calibri" w:hAnsi="Calibri"/>
          <w:sz w:val="22"/>
          <w:szCs w:val="22"/>
        </w:rPr>
        <w:t>The Forest covers more than 2.3 million acres in three states and nine counties.   The Wallowa-Whitman National Forest has a diverse program with high recreation use, several listed species, all or portions of four wilderness areas, grazing, mining, and a large fire program.</w:t>
      </w:r>
    </w:p>
    <w:p w:rsidR="0025332B" w:rsidRPr="00E404D0" w:rsidRDefault="0025332B" w:rsidP="001554EB">
      <w:pPr>
        <w:rPr>
          <w:rFonts w:ascii="Calibri" w:hAnsi="Calibri"/>
          <w:sz w:val="22"/>
          <w:szCs w:val="22"/>
        </w:rPr>
      </w:pPr>
    </w:p>
    <w:p w:rsidR="009554E8" w:rsidRPr="00E404D0" w:rsidRDefault="00242857" w:rsidP="001554EB">
      <w:pPr>
        <w:rPr>
          <w:rFonts w:ascii="Calibri" w:hAnsi="Calibri"/>
          <w:sz w:val="22"/>
          <w:szCs w:val="22"/>
        </w:rPr>
      </w:pPr>
      <w:r w:rsidRPr="00E404D0">
        <w:rPr>
          <w:rFonts w:ascii="Calibri" w:hAnsi="Calibri"/>
          <w:sz w:val="22"/>
          <w:szCs w:val="22"/>
        </w:rPr>
        <w:t>The Forest hos</w:t>
      </w:r>
      <w:r w:rsidR="000F0584" w:rsidRPr="00E404D0">
        <w:rPr>
          <w:rFonts w:ascii="Calibri" w:hAnsi="Calibri"/>
          <w:sz w:val="22"/>
          <w:szCs w:val="22"/>
        </w:rPr>
        <w:t>ts three units</w:t>
      </w:r>
      <w:r w:rsidR="009554E8" w:rsidRPr="00E404D0">
        <w:rPr>
          <w:rFonts w:ascii="Calibri" w:hAnsi="Calibri"/>
          <w:sz w:val="22"/>
          <w:szCs w:val="22"/>
        </w:rPr>
        <w:t xml:space="preserve"> in the communities of La Grande, Enterprise, and Baker City. </w:t>
      </w:r>
      <w:r w:rsidR="001204A8" w:rsidRPr="00E404D0">
        <w:rPr>
          <w:rFonts w:ascii="Calibri" w:hAnsi="Calibri"/>
          <w:sz w:val="22"/>
          <w:szCs w:val="22"/>
        </w:rPr>
        <w:t xml:space="preserve"> </w:t>
      </w:r>
      <w:r w:rsidRPr="00E404D0">
        <w:rPr>
          <w:rFonts w:ascii="Calibri" w:hAnsi="Calibri"/>
          <w:sz w:val="22"/>
          <w:szCs w:val="22"/>
        </w:rPr>
        <w:t>There are two satellite offices located in Riggins, Idaho and Clarkston</w:t>
      </w:r>
      <w:r w:rsidR="000F0584" w:rsidRPr="00E404D0">
        <w:rPr>
          <w:rFonts w:ascii="Calibri" w:hAnsi="Calibri"/>
          <w:sz w:val="22"/>
          <w:szCs w:val="22"/>
        </w:rPr>
        <w:t>,</w:t>
      </w:r>
      <w:r w:rsidRPr="00E404D0">
        <w:rPr>
          <w:rFonts w:ascii="Calibri" w:hAnsi="Calibri"/>
          <w:sz w:val="22"/>
          <w:szCs w:val="22"/>
        </w:rPr>
        <w:t xml:space="preserve"> Washington. </w:t>
      </w:r>
      <w:r w:rsidR="009554E8" w:rsidRPr="00E404D0">
        <w:rPr>
          <w:rFonts w:ascii="Calibri" w:hAnsi="Calibri"/>
          <w:sz w:val="22"/>
          <w:szCs w:val="22"/>
        </w:rPr>
        <w:t xml:space="preserve"> The Blue Mtn Interagency Dispatch Center is located in La Grande and is staffed by employees from the Umatilla and Wallowa-Whitman National Forests and Oregon Department of Forestry.  The Forest Leadershi</w:t>
      </w:r>
      <w:r w:rsidR="000F0584" w:rsidRPr="00E404D0">
        <w:rPr>
          <w:rFonts w:ascii="Calibri" w:hAnsi="Calibri"/>
          <w:sz w:val="22"/>
          <w:szCs w:val="22"/>
        </w:rPr>
        <w:t>p Team is comprised of  three</w:t>
      </w:r>
      <w:r w:rsidR="00E35DEA" w:rsidRPr="00E404D0">
        <w:rPr>
          <w:rFonts w:ascii="Calibri" w:hAnsi="Calibri"/>
          <w:sz w:val="22"/>
          <w:szCs w:val="22"/>
        </w:rPr>
        <w:t xml:space="preserve"> </w:t>
      </w:r>
      <w:r w:rsidR="009554E8" w:rsidRPr="00E404D0">
        <w:rPr>
          <w:rFonts w:ascii="Calibri" w:hAnsi="Calibri"/>
          <w:sz w:val="22"/>
          <w:szCs w:val="22"/>
        </w:rPr>
        <w:t xml:space="preserve">district rangers, </w:t>
      </w:r>
      <w:r w:rsidR="000F0584" w:rsidRPr="00E404D0">
        <w:rPr>
          <w:rFonts w:ascii="Calibri" w:hAnsi="Calibri"/>
          <w:sz w:val="22"/>
          <w:szCs w:val="22"/>
        </w:rPr>
        <w:t xml:space="preserve"> a deputy district ranger, </w:t>
      </w:r>
      <w:r w:rsidR="00E35DEA" w:rsidRPr="00E404D0">
        <w:rPr>
          <w:rFonts w:ascii="Calibri" w:hAnsi="Calibri"/>
          <w:sz w:val="22"/>
          <w:szCs w:val="22"/>
        </w:rPr>
        <w:t>five staff officers (customer service</w:t>
      </w:r>
      <w:r w:rsidR="009554E8" w:rsidRPr="00E404D0">
        <w:rPr>
          <w:rFonts w:ascii="Calibri" w:hAnsi="Calibri"/>
          <w:sz w:val="22"/>
          <w:szCs w:val="22"/>
        </w:rPr>
        <w:t>, en</w:t>
      </w:r>
      <w:r w:rsidR="000F0584" w:rsidRPr="00E404D0">
        <w:rPr>
          <w:rFonts w:ascii="Calibri" w:hAnsi="Calibri"/>
          <w:sz w:val="22"/>
          <w:szCs w:val="22"/>
        </w:rPr>
        <w:t xml:space="preserve">gineering, natural resources, public affairs, and </w:t>
      </w:r>
      <w:r w:rsidR="009554E8" w:rsidRPr="00E404D0">
        <w:rPr>
          <w:rFonts w:ascii="Calibri" w:hAnsi="Calibri"/>
          <w:sz w:val="22"/>
          <w:szCs w:val="22"/>
        </w:rPr>
        <w:t xml:space="preserve"> fire</w:t>
      </w:r>
      <w:r w:rsidR="00E35DEA" w:rsidRPr="00E404D0">
        <w:rPr>
          <w:rFonts w:ascii="Calibri" w:hAnsi="Calibri"/>
          <w:sz w:val="22"/>
          <w:szCs w:val="22"/>
        </w:rPr>
        <w:t>)</w:t>
      </w:r>
      <w:r w:rsidR="009554E8" w:rsidRPr="00E404D0">
        <w:rPr>
          <w:rFonts w:ascii="Calibri" w:hAnsi="Calibri"/>
          <w:sz w:val="22"/>
          <w:szCs w:val="22"/>
        </w:rPr>
        <w:t xml:space="preserve">, </w:t>
      </w:r>
      <w:r w:rsidR="00E35DEA" w:rsidRPr="00E404D0">
        <w:rPr>
          <w:rFonts w:ascii="Calibri" w:hAnsi="Calibri"/>
          <w:sz w:val="22"/>
          <w:szCs w:val="22"/>
        </w:rPr>
        <w:t>as well as the Deputy F</w:t>
      </w:r>
      <w:r w:rsidR="009554E8" w:rsidRPr="00E404D0">
        <w:rPr>
          <w:rFonts w:ascii="Calibri" w:hAnsi="Calibri"/>
          <w:sz w:val="22"/>
          <w:szCs w:val="22"/>
        </w:rPr>
        <w:t>orest Supervisor, an</w:t>
      </w:r>
      <w:r w:rsidRPr="00E404D0">
        <w:rPr>
          <w:rFonts w:ascii="Calibri" w:hAnsi="Calibri"/>
          <w:sz w:val="22"/>
          <w:szCs w:val="22"/>
        </w:rPr>
        <w:t xml:space="preserve">d Forest Supervisor. </w:t>
      </w:r>
    </w:p>
    <w:p w:rsidR="00C14A47" w:rsidRPr="00E404D0" w:rsidRDefault="00C14A47" w:rsidP="001554EB">
      <w:pPr>
        <w:rPr>
          <w:rFonts w:ascii="Calibri" w:hAnsi="Calibri"/>
          <w:sz w:val="22"/>
          <w:szCs w:val="22"/>
        </w:rPr>
      </w:pPr>
    </w:p>
    <w:p w:rsidR="00C14A47" w:rsidRPr="00E404D0" w:rsidRDefault="00C14A47" w:rsidP="001554EB">
      <w:pPr>
        <w:rPr>
          <w:rFonts w:ascii="Calibri" w:hAnsi="Calibri"/>
          <w:sz w:val="22"/>
          <w:szCs w:val="22"/>
        </w:rPr>
      </w:pPr>
      <w:r w:rsidRPr="00E404D0">
        <w:rPr>
          <w:rFonts w:ascii="Calibri" w:hAnsi="Calibri"/>
          <w:sz w:val="22"/>
          <w:szCs w:val="22"/>
        </w:rPr>
        <w:t>For more information about the Wallo</w:t>
      </w:r>
      <w:r w:rsidR="00253536" w:rsidRPr="00E404D0">
        <w:rPr>
          <w:rFonts w:ascii="Calibri" w:hAnsi="Calibri"/>
          <w:sz w:val="22"/>
          <w:szCs w:val="22"/>
        </w:rPr>
        <w:t>wa-Whitman National Forest access</w:t>
      </w:r>
      <w:r w:rsidRPr="00E404D0">
        <w:rPr>
          <w:rFonts w:ascii="Calibri" w:hAnsi="Calibri"/>
          <w:sz w:val="22"/>
          <w:szCs w:val="22"/>
        </w:rPr>
        <w:t xml:space="preserve"> the Forest Website at </w:t>
      </w:r>
      <w:hyperlink r:id="rId11" w:history="1">
        <w:r w:rsidR="00253536" w:rsidRPr="00E404D0">
          <w:rPr>
            <w:rStyle w:val="Hyperlink"/>
            <w:rFonts w:ascii="Calibri" w:hAnsi="Calibri"/>
            <w:sz w:val="22"/>
            <w:szCs w:val="22"/>
          </w:rPr>
          <w:t>http://www.fs.usda.gov/wallowa-whitman</w:t>
        </w:r>
      </w:hyperlink>
      <w:r w:rsidR="00253536" w:rsidRPr="00E404D0">
        <w:rPr>
          <w:rFonts w:ascii="Calibri" w:hAnsi="Calibri"/>
          <w:sz w:val="22"/>
          <w:szCs w:val="22"/>
        </w:rPr>
        <w:t xml:space="preserve"> </w:t>
      </w:r>
    </w:p>
    <w:p w:rsidR="00533D4A" w:rsidRPr="00E404D0" w:rsidRDefault="00533D4A" w:rsidP="001554EB">
      <w:pPr>
        <w:rPr>
          <w:rFonts w:ascii="Calibri" w:hAnsi="Calibri"/>
          <w:sz w:val="22"/>
          <w:szCs w:val="22"/>
        </w:rPr>
      </w:pPr>
    </w:p>
    <w:p w:rsidR="00C93AC3" w:rsidRPr="00E404D0" w:rsidRDefault="00F01A82" w:rsidP="001554EB">
      <w:pPr>
        <w:rPr>
          <w:rFonts w:ascii="Calibri" w:hAnsi="Calibri"/>
          <w:b/>
          <w:i/>
        </w:rPr>
      </w:pPr>
      <w:r w:rsidRPr="00E404D0">
        <w:rPr>
          <w:rFonts w:ascii="Calibri" w:hAnsi="Calibri"/>
          <w:b/>
          <w:i/>
        </w:rPr>
        <w:t>The Community</w:t>
      </w:r>
    </w:p>
    <w:p w:rsidR="0025332B" w:rsidRPr="00E404D0" w:rsidRDefault="0025332B" w:rsidP="001554EB">
      <w:pPr>
        <w:rPr>
          <w:rFonts w:ascii="Calibri" w:hAnsi="Calibri"/>
          <w:sz w:val="22"/>
          <w:szCs w:val="22"/>
        </w:rPr>
      </w:pPr>
      <w:r w:rsidRPr="00E404D0">
        <w:rPr>
          <w:rFonts w:ascii="Calibri" w:hAnsi="Calibri"/>
          <w:sz w:val="22"/>
          <w:szCs w:val="22"/>
        </w:rPr>
        <w:t xml:space="preserve">Surrounded to the west by the Elkhorn Mountains and to the northeast by the Wallowa Mountains, Baker City has an elevation of approximately 3,500 feet.  It is located on Interstate 84 within 2 hours of the Tri Cities in Southeast Washington (Pasco, Richland, and Kennewick) and within 2 hours of Boise, Idaho.  The population of Baker City is approximately 10,000. </w:t>
      </w:r>
    </w:p>
    <w:p w:rsidR="0025332B" w:rsidRPr="00E404D0" w:rsidRDefault="0025332B" w:rsidP="001554EB">
      <w:pPr>
        <w:rPr>
          <w:rFonts w:ascii="Calibri" w:hAnsi="Calibri"/>
          <w:sz w:val="22"/>
          <w:szCs w:val="22"/>
        </w:rPr>
      </w:pPr>
    </w:p>
    <w:p w:rsidR="0025332B" w:rsidRPr="00E404D0" w:rsidRDefault="00027B99" w:rsidP="001554EB">
      <w:pPr>
        <w:rPr>
          <w:rFonts w:ascii="Calibri" w:hAnsi="Calibri"/>
          <w:sz w:val="22"/>
          <w:szCs w:val="22"/>
        </w:rPr>
      </w:pPr>
      <w:r w:rsidRPr="00E404D0">
        <w:rPr>
          <w:rFonts w:ascii="Calibri" w:hAnsi="Calibri"/>
          <w:sz w:val="22"/>
          <w:szCs w:val="22"/>
        </w:rPr>
        <w:lastRenderedPageBreak/>
        <w:t>House rentals range from $7</w:t>
      </w:r>
      <w:r w:rsidR="0025332B" w:rsidRPr="00E404D0">
        <w:rPr>
          <w:rFonts w:ascii="Calibri" w:hAnsi="Calibri"/>
          <w:sz w:val="22"/>
          <w:szCs w:val="22"/>
        </w:rPr>
        <w:t xml:space="preserve">00 per month and up. Apartment rentals start at $400.  Utility rates tend to be low.  Average prices for 3 or 4 bedroom homes range from $90,000 to $200,000 plus. </w:t>
      </w:r>
    </w:p>
    <w:p w:rsidR="0025332B" w:rsidRPr="00E404D0" w:rsidRDefault="0025332B" w:rsidP="001554EB">
      <w:pPr>
        <w:rPr>
          <w:rFonts w:ascii="Calibri" w:hAnsi="Calibri"/>
          <w:sz w:val="22"/>
          <w:szCs w:val="22"/>
        </w:rPr>
      </w:pPr>
    </w:p>
    <w:p w:rsidR="0025332B" w:rsidRPr="00E404D0" w:rsidRDefault="0025332B" w:rsidP="001554EB">
      <w:pPr>
        <w:rPr>
          <w:rFonts w:ascii="Calibri" w:hAnsi="Calibri"/>
          <w:sz w:val="22"/>
          <w:szCs w:val="22"/>
        </w:rPr>
      </w:pPr>
      <w:r w:rsidRPr="00E404D0">
        <w:rPr>
          <w:rFonts w:ascii="Calibri" w:hAnsi="Calibri"/>
          <w:sz w:val="22"/>
          <w:szCs w:val="22"/>
        </w:rPr>
        <w:t>Baker City is a full service community.  Eastern Oregon University, which offers 4-year degree programs in 22 areas, is located 45 miles to the west in La Grande, Oregon.  Blue Mountain Community College, offering various 2-year degree programs is located in Pendleton, Oregon (95 miles to the northwest) and has a Remote Learning Center in Baker City; and Treasure Valley Community College, offering various 2-year degree programs is located in Ontario, Orego</w:t>
      </w:r>
      <w:r w:rsidR="001204A8" w:rsidRPr="00E404D0">
        <w:rPr>
          <w:rFonts w:ascii="Calibri" w:hAnsi="Calibri"/>
          <w:sz w:val="22"/>
          <w:szCs w:val="22"/>
        </w:rPr>
        <w:t xml:space="preserve">n (65 miles to the southeast).  </w:t>
      </w:r>
      <w:r w:rsidRPr="00E404D0">
        <w:rPr>
          <w:rFonts w:ascii="Calibri" w:hAnsi="Calibri"/>
          <w:sz w:val="22"/>
          <w:szCs w:val="22"/>
        </w:rPr>
        <w:t>There are 2 elementary schools, 1 middle school, and 1 high school located in Baker City.  The School District has a record of educational excellence.  Overall, results from the Oregon Statewide Assessment show that students in the Baker School District are above the state averages.  In addition, there are 3 private or Christian schools available.</w:t>
      </w:r>
    </w:p>
    <w:p w:rsidR="0025332B" w:rsidRPr="00E404D0" w:rsidRDefault="0025332B" w:rsidP="001554EB">
      <w:pPr>
        <w:rPr>
          <w:rFonts w:ascii="Calibri" w:hAnsi="Calibri"/>
          <w:sz w:val="22"/>
          <w:szCs w:val="22"/>
        </w:rPr>
      </w:pPr>
    </w:p>
    <w:p w:rsidR="0025332B" w:rsidRPr="00E404D0" w:rsidRDefault="0025332B" w:rsidP="001554EB">
      <w:pPr>
        <w:rPr>
          <w:rFonts w:ascii="Calibri" w:hAnsi="Calibri"/>
          <w:sz w:val="22"/>
          <w:szCs w:val="22"/>
        </w:rPr>
      </w:pPr>
      <w:r w:rsidRPr="00E404D0">
        <w:rPr>
          <w:rFonts w:ascii="Calibri" w:hAnsi="Calibri"/>
          <w:sz w:val="22"/>
          <w:szCs w:val="22"/>
        </w:rPr>
        <w:t>Baker City has a newly remodeled 40-bed hospita</w:t>
      </w:r>
      <w:r w:rsidR="00027B99" w:rsidRPr="00E404D0">
        <w:rPr>
          <w:rFonts w:ascii="Calibri" w:hAnsi="Calibri"/>
          <w:sz w:val="22"/>
          <w:szCs w:val="22"/>
        </w:rPr>
        <w:t xml:space="preserve">l with several local physicians, dentists, </w:t>
      </w:r>
      <w:r w:rsidRPr="00E404D0">
        <w:rPr>
          <w:rFonts w:ascii="Calibri" w:hAnsi="Calibri"/>
          <w:sz w:val="22"/>
          <w:szCs w:val="22"/>
        </w:rPr>
        <w:t>and specialists available.</w:t>
      </w:r>
      <w:r w:rsidR="00D95443" w:rsidRPr="00E404D0">
        <w:rPr>
          <w:rFonts w:ascii="Calibri" w:hAnsi="Calibri"/>
          <w:sz w:val="22"/>
          <w:szCs w:val="22"/>
        </w:rPr>
        <w:t xml:space="preserve">  </w:t>
      </w:r>
    </w:p>
    <w:p w:rsidR="0025332B" w:rsidRPr="00E404D0" w:rsidRDefault="0025332B" w:rsidP="001554EB">
      <w:pPr>
        <w:rPr>
          <w:rFonts w:ascii="Calibri" w:hAnsi="Calibri"/>
          <w:sz w:val="22"/>
          <w:szCs w:val="22"/>
        </w:rPr>
      </w:pPr>
    </w:p>
    <w:p w:rsidR="0025332B" w:rsidRPr="00E404D0" w:rsidRDefault="0025332B" w:rsidP="001554EB">
      <w:pPr>
        <w:rPr>
          <w:rFonts w:ascii="Calibri" w:hAnsi="Calibri"/>
          <w:sz w:val="22"/>
          <w:szCs w:val="22"/>
        </w:rPr>
      </w:pPr>
      <w:r w:rsidRPr="00E404D0">
        <w:rPr>
          <w:rFonts w:ascii="Calibri" w:hAnsi="Calibri"/>
          <w:sz w:val="22"/>
          <w:szCs w:val="22"/>
        </w:rPr>
        <w:t xml:space="preserve">Cultural opportunities include live local theater, vocal and instrumental performances, art galleries, Oregon Trail Interpretive Center, history museums, Miner's Jubilee, and a full calendar of special community events.  The newly expanded Baker County Library contains 91,000 volumes with access to library resources statewide and an interlibrary loan system that provides access to an unlimited number of publications nationwide.  </w:t>
      </w:r>
    </w:p>
    <w:p w:rsidR="0025332B" w:rsidRPr="00E404D0" w:rsidRDefault="0025332B" w:rsidP="001554EB">
      <w:pPr>
        <w:rPr>
          <w:rFonts w:ascii="Calibri" w:hAnsi="Calibri"/>
          <w:sz w:val="22"/>
          <w:szCs w:val="22"/>
        </w:rPr>
      </w:pPr>
      <w:r w:rsidRPr="00E404D0">
        <w:rPr>
          <w:rFonts w:ascii="Calibri" w:hAnsi="Calibri"/>
          <w:sz w:val="22"/>
          <w:szCs w:val="22"/>
        </w:rPr>
        <w:t xml:space="preserve"> </w:t>
      </w:r>
    </w:p>
    <w:p w:rsidR="00533D4A" w:rsidRPr="00E404D0" w:rsidRDefault="0025332B" w:rsidP="001554EB">
      <w:pPr>
        <w:rPr>
          <w:rFonts w:ascii="Calibri" w:hAnsi="Calibri"/>
        </w:rPr>
      </w:pPr>
      <w:r w:rsidRPr="00E404D0">
        <w:rPr>
          <w:rFonts w:ascii="Calibri" w:hAnsi="Calibri"/>
          <w:sz w:val="22"/>
          <w:szCs w:val="22"/>
        </w:rPr>
        <w:t>Baker City enjoys a dry climate with four distinct seasons.  The weather changes from snowfall in the winter to warm dry days in the summer. Recreational opportunities abound with such activities as golfing, fishing, biking, skiing, boating, hunting, and beautiful scenery.  Located on the Forest are the Hells Canyon National Recreation Area, several wilderness areas, numerous lakes, and 58 campgrounds and picnic areas.</w:t>
      </w:r>
    </w:p>
    <w:p w:rsidR="00C93AC3" w:rsidRDefault="00C93AC3" w:rsidP="005B0039">
      <w:pPr>
        <w:pStyle w:val="Heading1"/>
        <w:jc w:val="left"/>
        <w:rPr>
          <w:noProof w:val="0"/>
        </w:rPr>
      </w:pPr>
    </w:p>
    <w:p w:rsidR="004377FC" w:rsidRDefault="004377FC" w:rsidP="004377FC"/>
    <w:p w:rsidR="004377FC" w:rsidRDefault="004377FC" w:rsidP="004377FC"/>
    <w:p w:rsidR="004377FC" w:rsidRDefault="004377FC" w:rsidP="004377FC"/>
    <w:p w:rsidR="004377FC" w:rsidRDefault="004377FC" w:rsidP="004377FC"/>
    <w:p w:rsidR="004377FC" w:rsidRDefault="004377FC" w:rsidP="004377FC"/>
    <w:p w:rsidR="004377FC" w:rsidRDefault="004377FC" w:rsidP="004377FC"/>
    <w:p w:rsidR="004377FC" w:rsidRDefault="004377FC" w:rsidP="004377FC"/>
    <w:p w:rsidR="004377FC" w:rsidRDefault="004377FC" w:rsidP="004377FC"/>
    <w:p w:rsidR="004377FC" w:rsidRDefault="004377FC" w:rsidP="004377FC"/>
    <w:p w:rsidR="004377FC" w:rsidRDefault="004377FC" w:rsidP="004377FC"/>
    <w:p w:rsidR="004377FC" w:rsidRDefault="004377FC" w:rsidP="004377FC"/>
    <w:p w:rsidR="004377FC" w:rsidRDefault="004377FC" w:rsidP="004377FC"/>
    <w:p w:rsidR="004377FC" w:rsidRDefault="004377FC" w:rsidP="004377FC"/>
    <w:p w:rsidR="004377FC" w:rsidRDefault="004377FC" w:rsidP="004377FC"/>
    <w:p w:rsidR="004377FC" w:rsidRDefault="004377FC" w:rsidP="004377FC"/>
    <w:p w:rsidR="004377FC" w:rsidRDefault="004377FC" w:rsidP="004377FC"/>
    <w:p w:rsidR="004377FC" w:rsidRDefault="004377FC" w:rsidP="004377FC"/>
    <w:p w:rsidR="004377FC" w:rsidRDefault="004377FC" w:rsidP="004377FC"/>
    <w:p w:rsidR="004377FC" w:rsidRDefault="004377FC" w:rsidP="004377FC"/>
    <w:p w:rsidR="004377FC" w:rsidRDefault="004377FC" w:rsidP="004377FC"/>
    <w:p w:rsidR="004377FC" w:rsidRDefault="004377FC" w:rsidP="004377FC"/>
    <w:p w:rsidR="004377FC" w:rsidRDefault="004377FC" w:rsidP="004377FC"/>
    <w:p w:rsidR="004377FC" w:rsidRDefault="004377FC" w:rsidP="004377FC"/>
    <w:p w:rsidR="004377FC" w:rsidRDefault="004377FC" w:rsidP="004377FC"/>
    <w:p w:rsidR="004377FC" w:rsidRDefault="004377FC" w:rsidP="004377FC"/>
    <w:p w:rsidR="004377FC" w:rsidRPr="00DE2EB3" w:rsidRDefault="009E4401" w:rsidP="004377FC">
      <w:pPr>
        <w:tabs>
          <w:tab w:val="right" w:pos="2609"/>
        </w:tabs>
        <w:ind w:right="180"/>
        <w:jc w:val="center"/>
        <w:rPr>
          <w:rFonts w:ascii="Calibri" w:hAnsi="Calibri" w:cs="Arial"/>
          <w:b/>
          <w:bCs/>
          <w:sz w:val="20"/>
          <w:szCs w:val="20"/>
        </w:rPr>
      </w:pPr>
      <w:r>
        <w:drawing>
          <wp:anchor distT="0" distB="0" distL="114300" distR="114300" simplePos="0" relativeHeight="251657728" behindDoc="0" locked="0" layoutInCell="1" allowOverlap="1">
            <wp:simplePos x="0" y="0"/>
            <wp:positionH relativeFrom="column">
              <wp:posOffset>5524500</wp:posOffset>
            </wp:positionH>
            <wp:positionV relativeFrom="paragraph">
              <wp:posOffset>38100</wp:posOffset>
            </wp:positionV>
            <wp:extent cx="704850" cy="704850"/>
            <wp:effectExtent l="0" t="0" r="0" b="0"/>
            <wp:wrapNone/>
            <wp:docPr id="2" name="Picture 3" descr="http://www.fs.fed.us/r1/r1_stuff/shieldf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s.fed.us/r1/r1_stuff/shieldfs.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4377FC" w:rsidRPr="00DE2EB3">
        <w:rPr>
          <w:rFonts w:ascii="Calibri" w:hAnsi="Calibri" w:cs="Arial"/>
          <w:b/>
          <w:bCs/>
        </w:rPr>
        <w:t>OUTREACH RESPONSE FORM</w:t>
      </w:r>
    </w:p>
    <w:p w:rsidR="004377FC" w:rsidRPr="00DE2EB3" w:rsidRDefault="004377FC" w:rsidP="004377FC">
      <w:pPr>
        <w:rPr>
          <w:rFonts w:ascii="Calibri" w:hAnsi="Calibri"/>
          <w:sz w:val="20"/>
          <w:szCs w:val="20"/>
        </w:rPr>
      </w:pPr>
    </w:p>
    <w:p w:rsidR="004377FC" w:rsidRPr="00DE2EB3" w:rsidRDefault="004377FC" w:rsidP="004377FC">
      <w:pPr>
        <w:jc w:val="center"/>
        <w:rPr>
          <w:rFonts w:ascii="Calibri" w:hAnsi="Calibri" w:cs="Arial"/>
        </w:rPr>
      </w:pPr>
      <w:r>
        <w:rPr>
          <w:rFonts w:ascii="Calibri" w:hAnsi="Calibri" w:cs="Arial"/>
        </w:rPr>
        <w:t>Wallowa-Whitman NF</w:t>
      </w:r>
    </w:p>
    <w:p w:rsidR="004377FC" w:rsidRPr="00DE2EB3" w:rsidRDefault="004377FC" w:rsidP="004377FC">
      <w:pPr>
        <w:jc w:val="center"/>
        <w:rPr>
          <w:rFonts w:ascii="Calibri" w:hAnsi="Calibri" w:cs="Arial"/>
        </w:rPr>
      </w:pPr>
      <w:r>
        <w:rPr>
          <w:rFonts w:ascii="Calibri" w:hAnsi="Calibri" w:cs="Arial"/>
        </w:rPr>
        <w:t>Supervisor’s Office</w:t>
      </w:r>
    </w:p>
    <w:p w:rsidR="004377FC" w:rsidRPr="00DE2EB3" w:rsidRDefault="004377FC" w:rsidP="004377FC">
      <w:pPr>
        <w:jc w:val="center"/>
        <w:rPr>
          <w:rFonts w:ascii="Calibri" w:hAnsi="Calibri" w:cs="Arial"/>
          <w:b/>
          <w:szCs w:val="20"/>
        </w:rPr>
      </w:pPr>
      <w:r>
        <w:rPr>
          <w:rFonts w:ascii="Calibri" w:hAnsi="Calibri" w:cs="Arial"/>
          <w:b/>
          <w:szCs w:val="20"/>
        </w:rPr>
        <w:t>Blue Mountains Ecologist, GS-0408-11</w:t>
      </w:r>
    </w:p>
    <w:p w:rsidR="004377FC" w:rsidRPr="00DE2EB3" w:rsidRDefault="004377FC" w:rsidP="004377FC">
      <w:pPr>
        <w:jc w:val="center"/>
        <w:rPr>
          <w:rFonts w:ascii="Calibri" w:hAnsi="Calibri" w:cs="Times"/>
          <w:sz w:val="20"/>
          <w:szCs w:val="20"/>
        </w:rPr>
      </w:pPr>
    </w:p>
    <w:tbl>
      <w:tblPr>
        <w:tblpPr w:leftFromText="180" w:rightFromText="180" w:vertAnchor="text" w:horzAnchor="page" w:tblpX="2557" w:tblpY="210"/>
        <w:tblW w:w="0" w:type="auto"/>
        <w:tblBorders>
          <w:bottom w:val="single" w:sz="4" w:space="0" w:color="auto"/>
        </w:tblBorders>
        <w:tblLook w:val="01E0" w:firstRow="1" w:lastRow="1" w:firstColumn="1" w:lastColumn="1" w:noHBand="0" w:noVBand="0"/>
      </w:tblPr>
      <w:tblGrid>
        <w:gridCol w:w="8316"/>
      </w:tblGrid>
      <w:tr w:rsidR="004377FC" w:rsidRPr="001B4CA3" w:rsidTr="00D6205B">
        <w:tc>
          <w:tcPr>
            <w:tcW w:w="8316" w:type="dxa"/>
            <w:tcBorders>
              <w:bottom w:val="single" w:sz="4" w:space="0" w:color="auto"/>
            </w:tcBorders>
            <w:shd w:val="clear" w:color="auto" w:fill="D9D9D9"/>
          </w:tcPr>
          <w:p w:rsidR="004377FC" w:rsidRPr="00DE2EB3" w:rsidRDefault="004377FC" w:rsidP="00D6205B">
            <w:pPr>
              <w:rPr>
                <w:rFonts w:ascii="Calibri" w:hAnsi="Calibri"/>
                <w:sz w:val="20"/>
                <w:szCs w:val="20"/>
              </w:rPr>
            </w:pPr>
          </w:p>
        </w:tc>
      </w:tr>
    </w:tbl>
    <w:p w:rsidR="004377FC" w:rsidRPr="00DE2EB3" w:rsidRDefault="004377FC" w:rsidP="004377FC">
      <w:pPr>
        <w:rPr>
          <w:rFonts w:ascii="Calibri" w:hAnsi="Calibri"/>
          <w:sz w:val="20"/>
          <w:szCs w:val="20"/>
        </w:rPr>
      </w:pPr>
    </w:p>
    <w:p w:rsidR="004377FC" w:rsidRPr="00DE2EB3" w:rsidRDefault="004377FC" w:rsidP="004377FC">
      <w:pPr>
        <w:rPr>
          <w:rFonts w:ascii="Calibri" w:hAnsi="Calibri"/>
          <w:sz w:val="20"/>
          <w:szCs w:val="20"/>
        </w:rPr>
      </w:pPr>
      <w:r w:rsidRPr="00DE2EB3">
        <w:rPr>
          <w:rFonts w:ascii="Calibri" w:hAnsi="Calibri"/>
          <w:sz w:val="20"/>
          <w:szCs w:val="20"/>
        </w:rPr>
        <w:t>NAME:</w:t>
      </w:r>
    </w:p>
    <w:tbl>
      <w:tblPr>
        <w:tblpPr w:leftFromText="180" w:rightFromText="180" w:vertAnchor="text" w:horzAnchor="page" w:tblpX="4285" w:tblpY="210"/>
        <w:tblW w:w="0" w:type="auto"/>
        <w:tblBorders>
          <w:bottom w:val="single" w:sz="4" w:space="0" w:color="auto"/>
        </w:tblBorders>
        <w:tblLook w:val="01E0" w:firstRow="1" w:lastRow="1" w:firstColumn="1" w:lastColumn="1" w:noHBand="0" w:noVBand="0"/>
      </w:tblPr>
      <w:tblGrid>
        <w:gridCol w:w="6588"/>
      </w:tblGrid>
      <w:tr w:rsidR="004377FC" w:rsidRPr="001B4CA3" w:rsidTr="00D6205B">
        <w:tc>
          <w:tcPr>
            <w:tcW w:w="6588" w:type="dxa"/>
            <w:tcBorders>
              <w:bottom w:val="single" w:sz="4" w:space="0" w:color="auto"/>
            </w:tcBorders>
            <w:shd w:val="clear" w:color="auto" w:fill="D9D9D9"/>
          </w:tcPr>
          <w:p w:rsidR="004377FC" w:rsidRPr="00DE2EB3" w:rsidRDefault="004377FC" w:rsidP="00D6205B">
            <w:pPr>
              <w:rPr>
                <w:rFonts w:ascii="Calibri" w:hAnsi="Calibri"/>
                <w:sz w:val="20"/>
                <w:szCs w:val="20"/>
              </w:rPr>
            </w:pPr>
          </w:p>
        </w:tc>
      </w:tr>
    </w:tbl>
    <w:p w:rsidR="004377FC" w:rsidRPr="00DE2EB3" w:rsidRDefault="004377FC" w:rsidP="004377FC">
      <w:pPr>
        <w:rPr>
          <w:rFonts w:ascii="Calibri" w:hAnsi="Calibri"/>
          <w:sz w:val="20"/>
          <w:szCs w:val="20"/>
        </w:rPr>
      </w:pPr>
    </w:p>
    <w:p w:rsidR="004377FC" w:rsidRPr="00DE2EB3" w:rsidRDefault="004377FC" w:rsidP="004377FC">
      <w:pPr>
        <w:rPr>
          <w:rFonts w:ascii="Calibri" w:hAnsi="Calibri"/>
          <w:sz w:val="20"/>
          <w:szCs w:val="20"/>
        </w:rPr>
      </w:pPr>
      <w:r w:rsidRPr="00DE2EB3">
        <w:rPr>
          <w:rFonts w:ascii="Calibri" w:hAnsi="Calibri"/>
          <w:sz w:val="20"/>
          <w:szCs w:val="20"/>
        </w:rPr>
        <w:t>E-MAIL ADDRESS:</w:t>
      </w:r>
    </w:p>
    <w:tbl>
      <w:tblPr>
        <w:tblpPr w:leftFromText="180" w:rightFromText="180" w:vertAnchor="text" w:horzAnchor="page" w:tblpX="4285" w:tblpY="210"/>
        <w:tblW w:w="0" w:type="auto"/>
        <w:tblBorders>
          <w:bottom w:val="single" w:sz="4" w:space="0" w:color="auto"/>
        </w:tblBorders>
        <w:tblLook w:val="01E0" w:firstRow="1" w:lastRow="1" w:firstColumn="1" w:lastColumn="1" w:noHBand="0" w:noVBand="0"/>
      </w:tblPr>
      <w:tblGrid>
        <w:gridCol w:w="6588"/>
      </w:tblGrid>
      <w:tr w:rsidR="004377FC" w:rsidRPr="001B4CA3" w:rsidTr="00D6205B">
        <w:tc>
          <w:tcPr>
            <w:tcW w:w="6588" w:type="dxa"/>
            <w:tcBorders>
              <w:bottom w:val="single" w:sz="4" w:space="0" w:color="auto"/>
            </w:tcBorders>
            <w:shd w:val="clear" w:color="auto" w:fill="D9D9D9"/>
          </w:tcPr>
          <w:p w:rsidR="004377FC" w:rsidRPr="00DE2EB3" w:rsidRDefault="004377FC" w:rsidP="00D6205B">
            <w:pPr>
              <w:rPr>
                <w:rFonts w:ascii="Calibri" w:hAnsi="Calibri"/>
                <w:sz w:val="20"/>
                <w:szCs w:val="20"/>
              </w:rPr>
            </w:pPr>
          </w:p>
        </w:tc>
      </w:tr>
    </w:tbl>
    <w:p w:rsidR="004377FC" w:rsidRPr="00DE2EB3" w:rsidRDefault="004377FC" w:rsidP="004377FC">
      <w:pPr>
        <w:rPr>
          <w:rFonts w:ascii="Calibri" w:hAnsi="Calibri"/>
          <w:sz w:val="20"/>
          <w:szCs w:val="20"/>
        </w:rPr>
      </w:pPr>
    </w:p>
    <w:p w:rsidR="004377FC" w:rsidRPr="00DE2EB3" w:rsidRDefault="004377FC" w:rsidP="004377FC">
      <w:pPr>
        <w:rPr>
          <w:rFonts w:ascii="Calibri" w:hAnsi="Calibri"/>
          <w:sz w:val="20"/>
          <w:szCs w:val="20"/>
        </w:rPr>
      </w:pPr>
      <w:r w:rsidRPr="00DE2EB3">
        <w:rPr>
          <w:rFonts w:ascii="Calibri" w:hAnsi="Calibri"/>
          <w:sz w:val="20"/>
          <w:szCs w:val="20"/>
        </w:rPr>
        <w:t>MAILING ADDRESS:</w:t>
      </w:r>
    </w:p>
    <w:tbl>
      <w:tblPr>
        <w:tblpPr w:leftFromText="180" w:rightFromText="180" w:vertAnchor="text" w:horzAnchor="page" w:tblpX="4285" w:tblpY="210"/>
        <w:tblW w:w="0" w:type="auto"/>
        <w:tblBorders>
          <w:bottom w:val="single" w:sz="4" w:space="0" w:color="auto"/>
        </w:tblBorders>
        <w:tblLook w:val="01E0" w:firstRow="1" w:lastRow="1" w:firstColumn="1" w:lastColumn="1" w:noHBand="0" w:noVBand="0"/>
      </w:tblPr>
      <w:tblGrid>
        <w:gridCol w:w="6588"/>
      </w:tblGrid>
      <w:tr w:rsidR="004377FC" w:rsidRPr="001B4CA3" w:rsidTr="00D6205B">
        <w:tc>
          <w:tcPr>
            <w:tcW w:w="6588" w:type="dxa"/>
            <w:tcBorders>
              <w:bottom w:val="single" w:sz="4" w:space="0" w:color="auto"/>
            </w:tcBorders>
            <w:shd w:val="clear" w:color="auto" w:fill="D9D9D9"/>
          </w:tcPr>
          <w:p w:rsidR="004377FC" w:rsidRPr="00DE2EB3" w:rsidRDefault="004377FC" w:rsidP="00D6205B">
            <w:pPr>
              <w:rPr>
                <w:rFonts w:ascii="Calibri" w:hAnsi="Calibri"/>
                <w:sz w:val="20"/>
                <w:szCs w:val="20"/>
              </w:rPr>
            </w:pPr>
          </w:p>
        </w:tc>
      </w:tr>
    </w:tbl>
    <w:p w:rsidR="004377FC" w:rsidRPr="00DE2EB3" w:rsidRDefault="004377FC" w:rsidP="004377FC">
      <w:pPr>
        <w:rPr>
          <w:rFonts w:ascii="Calibri" w:hAnsi="Calibri"/>
          <w:sz w:val="20"/>
          <w:szCs w:val="20"/>
        </w:rPr>
      </w:pPr>
    </w:p>
    <w:p w:rsidR="004377FC" w:rsidRPr="00DE2EB3" w:rsidRDefault="004377FC" w:rsidP="004377FC">
      <w:pPr>
        <w:rPr>
          <w:rFonts w:ascii="Calibri" w:hAnsi="Calibri"/>
          <w:sz w:val="20"/>
          <w:szCs w:val="20"/>
        </w:rPr>
      </w:pPr>
      <w:r w:rsidRPr="00DE2EB3">
        <w:rPr>
          <w:rFonts w:ascii="Calibri" w:hAnsi="Calibri"/>
          <w:sz w:val="20"/>
          <w:szCs w:val="20"/>
        </w:rPr>
        <w:t>TELEPHONE NUMBER:</w:t>
      </w:r>
    </w:p>
    <w:p w:rsidR="004377FC" w:rsidRPr="00DE2EB3" w:rsidRDefault="004377FC" w:rsidP="004377FC">
      <w:pPr>
        <w:rPr>
          <w:rFonts w:ascii="Calibri" w:hAnsi="Calibri"/>
          <w:sz w:val="20"/>
          <w:szCs w:val="20"/>
        </w:rPr>
      </w:pPr>
    </w:p>
    <w:p w:rsidR="004377FC" w:rsidRPr="00DE2EB3" w:rsidRDefault="004377FC" w:rsidP="004377FC">
      <w:pPr>
        <w:rPr>
          <w:rFonts w:ascii="Calibri" w:hAnsi="Calibri"/>
        </w:rPr>
      </w:pPr>
      <w:r w:rsidRPr="00DE2EB3">
        <w:rPr>
          <w:rFonts w:ascii="Calibri" w:hAnsi="Calibri"/>
        </w:rPr>
        <w:t>I am interested in</w:t>
      </w:r>
      <w:r>
        <w:rPr>
          <w:rFonts w:ascii="Calibri" w:hAnsi="Calibri"/>
        </w:rPr>
        <w:t xml:space="preserve"> the following opportunities</w:t>
      </w:r>
      <w:r w:rsidRPr="00DE2EB3">
        <w:rPr>
          <w:rFonts w:ascii="Calibri" w:hAnsi="Calibri"/>
        </w:rPr>
        <w:t>:</w:t>
      </w:r>
    </w:p>
    <w:p w:rsidR="004377FC" w:rsidRDefault="004377FC" w:rsidP="004377FC">
      <w:pPr>
        <w:rPr>
          <w:rFonts w:ascii="Calibri" w:eastAsia="Calibri" w:hAnsi="Calibri"/>
          <w:sz w:val="22"/>
          <w:szCs w:val="22"/>
        </w:rPr>
      </w:pPr>
    </w:p>
    <w:p w:rsidR="004377FC" w:rsidRPr="00BE6213" w:rsidRDefault="004377FC" w:rsidP="004377FC">
      <w:pPr>
        <w:rPr>
          <w:rFonts w:ascii="Calibri" w:eastAsia="Calibri" w:hAnsi="Calibri"/>
          <w:sz w:val="22"/>
          <w:szCs w:val="22"/>
        </w:rPr>
      </w:pPr>
      <w:r w:rsidRPr="00A53668">
        <w:rPr>
          <w:rFonts w:ascii="MS Gothic" w:eastAsia="MS Gothic" w:hAnsi="MS Gothic" w:hint="eastAsia"/>
          <w:sz w:val="22"/>
          <w:szCs w:val="22"/>
        </w:rPr>
        <w:t xml:space="preserve">☐ </w:t>
      </w:r>
      <w:r w:rsidR="00A53668" w:rsidRPr="00A53668">
        <w:rPr>
          <w:rFonts w:ascii="Calibri" w:eastAsia="Calibri" w:hAnsi="Calibri"/>
          <w:sz w:val="22"/>
          <w:szCs w:val="22"/>
        </w:rPr>
        <w:t>120</w:t>
      </w:r>
      <w:r w:rsidRPr="00A53668">
        <w:rPr>
          <w:rFonts w:ascii="Calibri" w:eastAsia="Calibri" w:hAnsi="Calibri"/>
          <w:sz w:val="22"/>
          <w:szCs w:val="22"/>
        </w:rPr>
        <w:t>-Day</w:t>
      </w:r>
      <w:r>
        <w:rPr>
          <w:rFonts w:ascii="Calibri" w:eastAsia="Calibri" w:hAnsi="Calibri"/>
          <w:sz w:val="22"/>
          <w:szCs w:val="22"/>
        </w:rPr>
        <w:t xml:space="preserve"> </w:t>
      </w:r>
      <w:r w:rsidRPr="00BE6213">
        <w:rPr>
          <w:rFonts w:ascii="Calibri" w:eastAsia="Calibri" w:hAnsi="Calibri"/>
          <w:sz w:val="22"/>
          <w:szCs w:val="22"/>
        </w:rPr>
        <w:t xml:space="preserve">Temporary Promotion </w:t>
      </w:r>
    </w:p>
    <w:p w:rsidR="004377FC" w:rsidRDefault="004377FC" w:rsidP="004377FC">
      <w:pPr>
        <w:rPr>
          <w:rFonts w:ascii="Calibri" w:eastAsia="Calibri" w:hAnsi="Calibri"/>
          <w:sz w:val="22"/>
          <w:szCs w:val="22"/>
        </w:rPr>
      </w:pPr>
      <w:r>
        <w:rPr>
          <w:rFonts w:ascii="MS Gothic" w:eastAsia="MS Gothic" w:hAnsi="MS Gothic" w:hint="eastAsia"/>
          <w:sz w:val="22"/>
          <w:szCs w:val="22"/>
        </w:rPr>
        <w:t>☐</w:t>
      </w:r>
      <w:r>
        <w:rPr>
          <w:rFonts w:ascii="Calibri" w:eastAsia="Calibri" w:hAnsi="Calibri"/>
          <w:sz w:val="22"/>
          <w:szCs w:val="22"/>
        </w:rPr>
        <w:t xml:space="preserve">  Not to Exceed 1 Year </w:t>
      </w:r>
      <w:r w:rsidRPr="00BE6213">
        <w:rPr>
          <w:rFonts w:ascii="Calibri" w:eastAsia="Calibri" w:hAnsi="Calibri"/>
          <w:sz w:val="22"/>
          <w:szCs w:val="22"/>
        </w:rPr>
        <w:t>Temporary Promotion</w:t>
      </w:r>
      <w:r>
        <w:rPr>
          <w:rFonts w:ascii="Calibri" w:eastAsia="Calibri" w:hAnsi="Calibri"/>
          <w:sz w:val="22"/>
          <w:szCs w:val="22"/>
        </w:rPr>
        <w:t xml:space="preserve"> or Detail</w:t>
      </w:r>
    </w:p>
    <w:p w:rsidR="004377FC" w:rsidRPr="00BE6213" w:rsidRDefault="004377FC" w:rsidP="004377FC">
      <w:pPr>
        <w:rPr>
          <w:rFonts w:ascii="Calibri" w:eastAsia="Calibri" w:hAnsi="Calibri"/>
          <w:sz w:val="22"/>
          <w:szCs w:val="22"/>
        </w:rPr>
      </w:pPr>
      <w:r>
        <w:rPr>
          <w:rFonts w:ascii="MS Gothic" w:eastAsia="MS Gothic" w:hAnsi="MS Gothic" w:hint="eastAsia"/>
          <w:sz w:val="22"/>
          <w:szCs w:val="22"/>
        </w:rPr>
        <w:t>☐</w:t>
      </w:r>
      <w:r>
        <w:rPr>
          <w:rFonts w:ascii="Calibri" w:eastAsia="Calibri" w:hAnsi="Calibri"/>
          <w:sz w:val="22"/>
          <w:szCs w:val="22"/>
        </w:rPr>
        <w:t xml:space="preserve">  Permanent, Competitive Assignment </w:t>
      </w:r>
    </w:p>
    <w:p w:rsidR="004377FC" w:rsidRDefault="004377FC" w:rsidP="004377FC">
      <w:pPr>
        <w:rPr>
          <w:rFonts w:ascii="Calibri" w:eastAsia="Calibri" w:hAnsi="Calibri"/>
          <w:sz w:val="22"/>
          <w:szCs w:val="22"/>
        </w:rPr>
      </w:pPr>
      <w:r>
        <w:rPr>
          <w:rFonts w:ascii="MS Gothic" w:eastAsia="MS Gothic" w:hAnsi="MS Gothic" w:hint="eastAsia"/>
          <w:sz w:val="22"/>
          <w:szCs w:val="22"/>
        </w:rPr>
        <w:t>☐</w:t>
      </w:r>
      <w:r>
        <w:rPr>
          <w:rFonts w:ascii="Calibri" w:eastAsia="Calibri" w:hAnsi="Calibri"/>
          <w:sz w:val="22"/>
          <w:szCs w:val="22"/>
        </w:rPr>
        <w:t xml:space="preserve">  P</w:t>
      </w:r>
      <w:r w:rsidRPr="00BE6213">
        <w:rPr>
          <w:rFonts w:ascii="Calibri" w:eastAsia="Calibri" w:hAnsi="Calibri"/>
          <w:sz w:val="22"/>
          <w:szCs w:val="22"/>
        </w:rPr>
        <w:t>ermanent Reassignment</w:t>
      </w:r>
      <w:r>
        <w:rPr>
          <w:rFonts w:ascii="Calibri" w:eastAsia="Calibri" w:hAnsi="Calibri"/>
          <w:sz w:val="22"/>
          <w:szCs w:val="22"/>
        </w:rPr>
        <w:t xml:space="preserve"> </w:t>
      </w:r>
      <w:r w:rsidR="00B036D3">
        <w:rPr>
          <w:rFonts w:ascii="Calibri" w:eastAsia="Calibri" w:hAnsi="Calibri"/>
          <w:sz w:val="22"/>
          <w:szCs w:val="22"/>
        </w:rPr>
        <w:t>(for existing GS-11</w:t>
      </w:r>
      <w:r w:rsidRPr="00BE6213">
        <w:rPr>
          <w:rFonts w:ascii="Calibri" w:eastAsia="Calibri" w:hAnsi="Calibri"/>
          <w:sz w:val="22"/>
          <w:szCs w:val="22"/>
        </w:rPr>
        <w:t xml:space="preserve"> employee</w:t>
      </w:r>
      <w:r>
        <w:rPr>
          <w:rFonts w:ascii="Calibri" w:eastAsia="Calibri" w:hAnsi="Calibri"/>
          <w:sz w:val="22"/>
          <w:szCs w:val="22"/>
        </w:rPr>
        <w:t>s</w:t>
      </w:r>
      <w:r w:rsidRPr="00BE6213">
        <w:rPr>
          <w:rFonts w:ascii="Calibri" w:eastAsia="Calibri" w:hAnsi="Calibri"/>
          <w:sz w:val="22"/>
          <w:szCs w:val="22"/>
        </w:rPr>
        <w:t>)</w:t>
      </w:r>
    </w:p>
    <w:p w:rsidR="004377FC" w:rsidRDefault="004377FC" w:rsidP="004377FC">
      <w:pPr>
        <w:rPr>
          <w:rFonts w:ascii="Calibri" w:eastAsia="Calibri" w:hAnsi="Calibri"/>
          <w:sz w:val="22"/>
          <w:szCs w:val="22"/>
        </w:rPr>
      </w:pPr>
    </w:p>
    <w:p w:rsidR="004377FC" w:rsidRPr="00DE2EB3" w:rsidRDefault="004377FC" w:rsidP="004377FC">
      <w:pPr>
        <w:rPr>
          <w:rFonts w:ascii="Calibri" w:hAnsi="Calibri"/>
          <w:sz w:val="22"/>
          <w:szCs w:val="22"/>
        </w:rPr>
      </w:pPr>
    </w:p>
    <w:tbl>
      <w:tblPr>
        <w:tblpPr w:leftFromText="180" w:rightFromText="180" w:vertAnchor="text" w:horzAnchor="margin" w:tblpXSpec="right" w:tblpY="66"/>
        <w:tblW w:w="0" w:type="auto"/>
        <w:tblBorders>
          <w:bottom w:val="single" w:sz="4" w:space="0" w:color="auto"/>
          <w:insideH w:val="single" w:sz="4" w:space="0" w:color="auto"/>
        </w:tblBorders>
        <w:tblLook w:val="01E0" w:firstRow="1" w:lastRow="1" w:firstColumn="1" w:lastColumn="1" w:noHBand="0" w:noVBand="0"/>
      </w:tblPr>
      <w:tblGrid>
        <w:gridCol w:w="540"/>
        <w:gridCol w:w="1980"/>
        <w:gridCol w:w="540"/>
        <w:gridCol w:w="1800"/>
        <w:gridCol w:w="634"/>
        <w:gridCol w:w="1014"/>
      </w:tblGrid>
      <w:tr w:rsidR="004377FC" w:rsidRPr="001B4CA3" w:rsidTr="00D6205B">
        <w:tc>
          <w:tcPr>
            <w:tcW w:w="540" w:type="dxa"/>
            <w:shd w:val="clear" w:color="auto" w:fill="D9D9D9"/>
          </w:tcPr>
          <w:p w:rsidR="004377FC" w:rsidRPr="00DE2EB3" w:rsidRDefault="004377FC" w:rsidP="00D6205B">
            <w:pPr>
              <w:rPr>
                <w:rFonts w:ascii="Calibri" w:hAnsi="Calibri"/>
                <w:sz w:val="20"/>
                <w:szCs w:val="20"/>
              </w:rPr>
            </w:pPr>
          </w:p>
        </w:tc>
        <w:tc>
          <w:tcPr>
            <w:tcW w:w="1980" w:type="dxa"/>
            <w:tcBorders>
              <w:top w:val="nil"/>
              <w:bottom w:val="nil"/>
            </w:tcBorders>
          </w:tcPr>
          <w:p w:rsidR="004377FC" w:rsidRPr="00DE2EB3" w:rsidRDefault="004377FC" w:rsidP="00D6205B">
            <w:pPr>
              <w:rPr>
                <w:rFonts w:ascii="Calibri" w:hAnsi="Calibri"/>
                <w:sz w:val="20"/>
                <w:szCs w:val="20"/>
              </w:rPr>
            </w:pPr>
            <w:r w:rsidRPr="00DE2EB3">
              <w:rPr>
                <w:rFonts w:ascii="Calibri" w:hAnsi="Calibri"/>
                <w:sz w:val="20"/>
                <w:szCs w:val="20"/>
              </w:rPr>
              <w:t>PERMANENT</w:t>
            </w:r>
          </w:p>
        </w:tc>
        <w:tc>
          <w:tcPr>
            <w:tcW w:w="540" w:type="dxa"/>
            <w:shd w:val="clear" w:color="auto" w:fill="D9D9D9"/>
          </w:tcPr>
          <w:p w:rsidR="004377FC" w:rsidRPr="00DE2EB3" w:rsidRDefault="004377FC" w:rsidP="00D6205B">
            <w:pPr>
              <w:rPr>
                <w:rFonts w:ascii="Calibri" w:hAnsi="Calibri"/>
                <w:sz w:val="20"/>
                <w:szCs w:val="20"/>
              </w:rPr>
            </w:pPr>
          </w:p>
        </w:tc>
        <w:tc>
          <w:tcPr>
            <w:tcW w:w="1800" w:type="dxa"/>
            <w:tcBorders>
              <w:top w:val="nil"/>
              <w:bottom w:val="nil"/>
            </w:tcBorders>
          </w:tcPr>
          <w:p w:rsidR="004377FC" w:rsidRPr="00DE2EB3" w:rsidRDefault="004377FC" w:rsidP="00D6205B">
            <w:pPr>
              <w:rPr>
                <w:rFonts w:ascii="Calibri" w:hAnsi="Calibri"/>
                <w:sz w:val="20"/>
                <w:szCs w:val="20"/>
              </w:rPr>
            </w:pPr>
            <w:r w:rsidRPr="00DE2EB3">
              <w:rPr>
                <w:rFonts w:ascii="Calibri" w:hAnsi="Calibri"/>
                <w:sz w:val="20"/>
                <w:szCs w:val="20"/>
              </w:rPr>
              <w:t>TEMPORARY</w:t>
            </w:r>
          </w:p>
        </w:tc>
        <w:tc>
          <w:tcPr>
            <w:tcW w:w="634" w:type="dxa"/>
            <w:shd w:val="clear" w:color="auto" w:fill="D9D9D9"/>
          </w:tcPr>
          <w:p w:rsidR="004377FC" w:rsidRPr="00DE2EB3" w:rsidRDefault="004377FC" w:rsidP="00D6205B">
            <w:pPr>
              <w:rPr>
                <w:rFonts w:ascii="Calibri" w:hAnsi="Calibri"/>
                <w:sz w:val="20"/>
                <w:szCs w:val="20"/>
              </w:rPr>
            </w:pPr>
          </w:p>
        </w:tc>
        <w:tc>
          <w:tcPr>
            <w:tcW w:w="1014" w:type="dxa"/>
            <w:tcBorders>
              <w:top w:val="nil"/>
              <w:bottom w:val="nil"/>
            </w:tcBorders>
          </w:tcPr>
          <w:p w:rsidR="004377FC" w:rsidRPr="00DE2EB3" w:rsidRDefault="004377FC" w:rsidP="00D6205B">
            <w:pPr>
              <w:rPr>
                <w:rFonts w:ascii="Calibri" w:hAnsi="Calibri"/>
                <w:sz w:val="20"/>
                <w:szCs w:val="20"/>
              </w:rPr>
            </w:pPr>
            <w:r w:rsidRPr="00DE2EB3">
              <w:rPr>
                <w:rFonts w:ascii="Calibri" w:hAnsi="Calibri"/>
                <w:sz w:val="20"/>
                <w:szCs w:val="20"/>
              </w:rPr>
              <w:t>TERM</w:t>
            </w:r>
          </w:p>
        </w:tc>
      </w:tr>
    </w:tbl>
    <w:p w:rsidR="004377FC" w:rsidRPr="00DE2EB3" w:rsidRDefault="004377FC" w:rsidP="004377FC">
      <w:pPr>
        <w:rPr>
          <w:rFonts w:ascii="Calibri" w:hAnsi="Calibri"/>
          <w:sz w:val="20"/>
          <w:szCs w:val="20"/>
        </w:rPr>
      </w:pPr>
      <w:r w:rsidRPr="00DE2EB3">
        <w:rPr>
          <w:rFonts w:ascii="Calibri" w:hAnsi="Calibri"/>
          <w:sz w:val="20"/>
          <w:szCs w:val="20"/>
        </w:rPr>
        <w:t>CURRENT TYPE OF APPOINTMENT:</w:t>
      </w:r>
    </w:p>
    <w:p w:rsidR="004377FC" w:rsidRPr="00DE2EB3" w:rsidRDefault="004377FC" w:rsidP="004377FC">
      <w:pPr>
        <w:rPr>
          <w:rFonts w:ascii="Calibri" w:hAnsi="Calibri"/>
          <w:sz w:val="20"/>
          <w:szCs w:val="20"/>
        </w:rPr>
      </w:pPr>
    </w:p>
    <w:tbl>
      <w:tblPr>
        <w:tblpPr w:leftFromText="180" w:rightFromText="180" w:vertAnchor="text" w:horzAnchor="margin" w:tblpXSpec="right" w:tblpY="66"/>
        <w:tblW w:w="0" w:type="auto"/>
        <w:tblBorders>
          <w:bottom w:val="single" w:sz="4" w:space="0" w:color="auto"/>
          <w:insideH w:val="single" w:sz="4" w:space="0" w:color="auto"/>
        </w:tblBorders>
        <w:tblLook w:val="01E0" w:firstRow="1" w:lastRow="1" w:firstColumn="1" w:lastColumn="1" w:noHBand="0" w:noVBand="0"/>
      </w:tblPr>
      <w:tblGrid>
        <w:gridCol w:w="468"/>
        <w:gridCol w:w="1980"/>
        <w:gridCol w:w="540"/>
        <w:gridCol w:w="900"/>
        <w:gridCol w:w="1534"/>
        <w:gridCol w:w="1014"/>
      </w:tblGrid>
      <w:tr w:rsidR="004377FC" w:rsidRPr="001B4CA3" w:rsidTr="00D6205B">
        <w:tc>
          <w:tcPr>
            <w:tcW w:w="468" w:type="dxa"/>
            <w:shd w:val="clear" w:color="auto" w:fill="D9D9D9"/>
          </w:tcPr>
          <w:p w:rsidR="004377FC" w:rsidRPr="00DE2EB3" w:rsidRDefault="004377FC" w:rsidP="00D6205B">
            <w:pPr>
              <w:rPr>
                <w:rFonts w:ascii="Calibri" w:hAnsi="Calibri"/>
                <w:sz w:val="20"/>
                <w:szCs w:val="20"/>
              </w:rPr>
            </w:pPr>
          </w:p>
        </w:tc>
        <w:tc>
          <w:tcPr>
            <w:tcW w:w="1980" w:type="dxa"/>
            <w:tcBorders>
              <w:top w:val="nil"/>
              <w:bottom w:val="nil"/>
            </w:tcBorders>
          </w:tcPr>
          <w:p w:rsidR="004377FC" w:rsidRPr="00DE2EB3" w:rsidRDefault="004377FC" w:rsidP="00D6205B">
            <w:pPr>
              <w:rPr>
                <w:rFonts w:ascii="Calibri" w:hAnsi="Calibri"/>
                <w:sz w:val="20"/>
                <w:szCs w:val="20"/>
              </w:rPr>
            </w:pPr>
            <w:r w:rsidRPr="00DE2EB3">
              <w:rPr>
                <w:rFonts w:ascii="Calibri" w:hAnsi="Calibri"/>
                <w:sz w:val="20"/>
                <w:szCs w:val="20"/>
              </w:rPr>
              <w:t>VRA</w:t>
            </w:r>
          </w:p>
        </w:tc>
        <w:tc>
          <w:tcPr>
            <w:tcW w:w="540" w:type="dxa"/>
            <w:shd w:val="clear" w:color="auto" w:fill="D9D9D9"/>
          </w:tcPr>
          <w:p w:rsidR="004377FC" w:rsidRPr="00DE2EB3" w:rsidRDefault="004377FC" w:rsidP="00D6205B">
            <w:pPr>
              <w:rPr>
                <w:rFonts w:ascii="Calibri" w:hAnsi="Calibri"/>
                <w:sz w:val="20"/>
                <w:szCs w:val="20"/>
              </w:rPr>
            </w:pPr>
          </w:p>
        </w:tc>
        <w:tc>
          <w:tcPr>
            <w:tcW w:w="900" w:type="dxa"/>
            <w:tcBorders>
              <w:top w:val="nil"/>
              <w:bottom w:val="nil"/>
            </w:tcBorders>
          </w:tcPr>
          <w:p w:rsidR="004377FC" w:rsidRPr="00DE2EB3" w:rsidRDefault="004377FC" w:rsidP="00D6205B">
            <w:pPr>
              <w:rPr>
                <w:rFonts w:ascii="Calibri" w:hAnsi="Calibri"/>
                <w:sz w:val="20"/>
                <w:szCs w:val="20"/>
              </w:rPr>
            </w:pPr>
            <w:r w:rsidRPr="00DE2EB3">
              <w:rPr>
                <w:rFonts w:ascii="Calibri" w:hAnsi="Calibri"/>
                <w:sz w:val="20"/>
                <w:szCs w:val="20"/>
              </w:rPr>
              <w:t>PWD</w:t>
            </w:r>
          </w:p>
        </w:tc>
        <w:tc>
          <w:tcPr>
            <w:tcW w:w="1534" w:type="dxa"/>
            <w:shd w:val="clear" w:color="auto" w:fill="D9D9D9"/>
          </w:tcPr>
          <w:p w:rsidR="004377FC" w:rsidRPr="00DE2EB3" w:rsidRDefault="004377FC" w:rsidP="00D6205B">
            <w:pPr>
              <w:rPr>
                <w:rFonts w:ascii="Calibri" w:hAnsi="Calibri"/>
                <w:sz w:val="20"/>
                <w:szCs w:val="20"/>
              </w:rPr>
            </w:pPr>
          </w:p>
        </w:tc>
        <w:tc>
          <w:tcPr>
            <w:tcW w:w="1014" w:type="dxa"/>
            <w:tcBorders>
              <w:top w:val="nil"/>
              <w:bottom w:val="nil"/>
            </w:tcBorders>
          </w:tcPr>
          <w:p w:rsidR="004377FC" w:rsidRPr="00DE2EB3" w:rsidRDefault="004377FC" w:rsidP="00D6205B">
            <w:pPr>
              <w:rPr>
                <w:rFonts w:ascii="Calibri" w:hAnsi="Calibri"/>
                <w:sz w:val="20"/>
                <w:szCs w:val="20"/>
              </w:rPr>
            </w:pPr>
            <w:r w:rsidRPr="00DE2EB3">
              <w:rPr>
                <w:rFonts w:ascii="Calibri" w:hAnsi="Calibri"/>
                <w:sz w:val="20"/>
                <w:szCs w:val="20"/>
              </w:rPr>
              <w:t>OTHER</w:t>
            </w:r>
          </w:p>
        </w:tc>
      </w:tr>
    </w:tbl>
    <w:p w:rsidR="004377FC" w:rsidRPr="00DE2EB3" w:rsidRDefault="004377FC" w:rsidP="004377FC">
      <w:pPr>
        <w:rPr>
          <w:rFonts w:ascii="Calibri" w:hAnsi="Calibri"/>
          <w:sz w:val="20"/>
          <w:szCs w:val="20"/>
        </w:rPr>
      </w:pPr>
    </w:p>
    <w:tbl>
      <w:tblPr>
        <w:tblpPr w:leftFromText="180" w:rightFromText="180" w:vertAnchor="text" w:horzAnchor="page" w:tblpX="2989" w:tblpY="312"/>
        <w:tblW w:w="0" w:type="auto"/>
        <w:tblBorders>
          <w:bottom w:val="single" w:sz="4" w:space="0" w:color="auto"/>
          <w:insideH w:val="single" w:sz="4" w:space="0" w:color="auto"/>
        </w:tblBorders>
        <w:tblLook w:val="01E0" w:firstRow="1" w:lastRow="1" w:firstColumn="1" w:lastColumn="1" w:noHBand="0" w:noVBand="0"/>
      </w:tblPr>
      <w:tblGrid>
        <w:gridCol w:w="828"/>
        <w:gridCol w:w="1260"/>
        <w:gridCol w:w="4140"/>
        <w:gridCol w:w="1656"/>
      </w:tblGrid>
      <w:tr w:rsidR="004377FC" w:rsidRPr="001B4CA3" w:rsidTr="00D6205B">
        <w:tc>
          <w:tcPr>
            <w:tcW w:w="828" w:type="dxa"/>
            <w:shd w:val="clear" w:color="auto" w:fill="D9D9D9"/>
          </w:tcPr>
          <w:p w:rsidR="004377FC" w:rsidRPr="00DE2EB3" w:rsidRDefault="004377FC" w:rsidP="00D6205B">
            <w:pPr>
              <w:rPr>
                <w:rFonts w:ascii="Calibri" w:hAnsi="Calibri"/>
                <w:sz w:val="20"/>
                <w:szCs w:val="20"/>
              </w:rPr>
            </w:pPr>
          </w:p>
        </w:tc>
        <w:tc>
          <w:tcPr>
            <w:tcW w:w="1260" w:type="dxa"/>
            <w:tcBorders>
              <w:top w:val="nil"/>
              <w:bottom w:val="nil"/>
            </w:tcBorders>
          </w:tcPr>
          <w:p w:rsidR="004377FC" w:rsidRPr="00DE2EB3" w:rsidRDefault="004377FC" w:rsidP="00D6205B">
            <w:pPr>
              <w:rPr>
                <w:rFonts w:ascii="Calibri" w:hAnsi="Calibri"/>
                <w:sz w:val="20"/>
                <w:szCs w:val="20"/>
              </w:rPr>
            </w:pPr>
            <w:r w:rsidRPr="00DE2EB3">
              <w:rPr>
                <w:rFonts w:ascii="Calibri" w:hAnsi="Calibri"/>
                <w:sz w:val="20"/>
                <w:szCs w:val="20"/>
              </w:rPr>
              <w:t>REGION</w:t>
            </w:r>
          </w:p>
        </w:tc>
        <w:tc>
          <w:tcPr>
            <w:tcW w:w="4140" w:type="dxa"/>
            <w:shd w:val="clear" w:color="auto" w:fill="D9D9D9"/>
          </w:tcPr>
          <w:p w:rsidR="004377FC" w:rsidRPr="00DE2EB3" w:rsidRDefault="004377FC" w:rsidP="00D6205B">
            <w:pPr>
              <w:rPr>
                <w:rFonts w:ascii="Calibri" w:hAnsi="Calibri"/>
                <w:sz w:val="20"/>
                <w:szCs w:val="20"/>
              </w:rPr>
            </w:pPr>
          </w:p>
        </w:tc>
        <w:tc>
          <w:tcPr>
            <w:tcW w:w="1656" w:type="dxa"/>
            <w:tcBorders>
              <w:top w:val="nil"/>
              <w:bottom w:val="nil"/>
            </w:tcBorders>
          </w:tcPr>
          <w:p w:rsidR="004377FC" w:rsidRPr="00DE2EB3" w:rsidRDefault="004377FC" w:rsidP="00D6205B">
            <w:pPr>
              <w:rPr>
                <w:rFonts w:ascii="Calibri" w:hAnsi="Calibri"/>
                <w:sz w:val="20"/>
                <w:szCs w:val="20"/>
              </w:rPr>
            </w:pPr>
            <w:r w:rsidRPr="00DE2EB3">
              <w:rPr>
                <w:rFonts w:ascii="Calibri" w:hAnsi="Calibri"/>
                <w:sz w:val="20"/>
                <w:szCs w:val="20"/>
              </w:rPr>
              <w:t>FOREST</w:t>
            </w:r>
          </w:p>
        </w:tc>
      </w:tr>
    </w:tbl>
    <w:p w:rsidR="004377FC" w:rsidRPr="00DE2EB3" w:rsidRDefault="004377FC" w:rsidP="004377FC">
      <w:pPr>
        <w:rPr>
          <w:rFonts w:ascii="Calibri" w:hAnsi="Calibri"/>
          <w:sz w:val="20"/>
          <w:szCs w:val="20"/>
        </w:rPr>
      </w:pPr>
    </w:p>
    <w:p w:rsidR="004377FC" w:rsidRPr="00DE2EB3" w:rsidRDefault="004377FC" w:rsidP="004377FC">
      <w:pPr>
        <w:rPr>
          <w:rFonts w:ascii="Calibri" w:hAnsi="Calibri"/>
          <w:sz w:val="20"/>
          <w:szCs w:val="20"/>
        </w:rPr>
      </w:pPr>
      <w:r w:rsidRPr="00DE2EB3">
        <w:rPr>
          <w:rFonts w:ascii="Calibri" w:hAnsi="Calibri"/>
          <w:sz w:val="20"/>
          <w:szCs w:val="20"/>
        </w:rPr>
        <w:t>LOCATION:</w:t>
      </w:r>
    </w:p>
    <w:tbl>
      <w:tblPr>
        <w:tblpPr w:leftFromText="180" w:rightFromText="180" w:vertAnchor="text" w:horzAnchor="page" w:tblpX="3025" w:tblpY="312"/>
        <w:tblW w:w="0" w:type="auto"/>
        <w:tblBorders>
          <w:bottom w:val="single" w:sz="4" w:space="0" w:color="auto"/>
          <w:insideH w:val="single" w:sz="4" w:space="0" w:color="auto"/>
        </w:tblBorders>
        <w:tblLook w:val="01E0" w:firstRow="1" w:lastRow="1" w:firstColumn="1" w:lastColumn="1" w:noHBand="0" w:noVBand="0"/>
      </w:tblPr>
      <w:tblGrid>
        <w:gridCol w:w="6192"/>
        <w:gridCol w:w="1656"/>
      </w:tblGrid>
      <w:tr w:rsidR="004377FC" w:rsidRPr="001B4CA3" w:rsidTr="00D6205B">
        <w:tc>
          <w:tcPr>
            <w:tcW w:w="6192" w:type="dxa"/>
            <w:shd w:val="clear" w:color="auto" w:fill="D9D9D9"/>
          </w:tcPr>
          <w:p w:rsidR="004377FC" w:rsidRPr="00DE2EB3" w:rsidRDefault="004377FC" w:rsidP="00D6205B">
            <w:pPr>
              <w:rPr>
                <w:rFonts w:ascii="Calibri" w:hAnsi="Calibri"/>
                <w:sz w:val="20"/>
                <w:szCs w:val="20"/>
              </w:rPr>
            </w:pPr>
          </w:p>
        </w:tc>
        <w:tc>
          <w:tcPr>
            <w:tcW w:w="1656" w:type="dxa"/>
            <w:tcBorders>
              <w:top w:val="nil"/>
              <w:bottom w:val="nil"/>
            </w:tcBorders>
          </w:tcPr>
          <w:p w:rsidR="004377FC" w:rsidRPr="00DE2EB3" w:rsidRDefault="004377FC" w:rsidP="00D6205B">
            <w:pPr>
              <w:rPr>
                <w:rFonts w:ascii="Calibri" w:hAnsi="Calibri"/>
                <w:sz w:val="20"/>
                <w:szCs w:val="20"/>
              </w:rPr>
            </w:pPr>
            <w:r w:rsidRPr="00DE2EB3">
              <w:rPr>
                <w:rFonts w:ascii="Calibri" w:hAnsi="Calibri"/>
                <w:sz w:val="20"/>
                <w:szCs w:val="20"/>
              </w:rPr>
              <w:t>DISTRICT</w:t>
            </w:r>
          </w:p>
        </w:tc>
      </w:tr>
    </w:tbl>
    <w:p w:rsidR="004377FC" w:rsidRPr="00DE2EB3" w:rsidRDefault="004377FC" w:rsidP="004377FC">
      <w:pPr>
        <w:rPr>
          <w:rFonts w:ascii="Calibri" w:hAnsi="Calibri"/>
          <w:sz w:val="20"/>
          <w:szCs w:val="20"/>
        </w:rPr>
      </w:pPr>
    </w:p>
    <w:p w:rsidR="004377FC" w:rsidRPr="00DE2EB3" w:rsidRDefault="004377FC" w:rsidP="004377FC">
      <w:pPr>
        <w:rPr>
          <w:rFonts w:ascii="Calibri" w:hAnsi="Calibri"/>
          <w:sz w:val="20"/>
          <w:szCs w:val="20"/>
        </w:rPr>
      </w:pPr>
    </w:p>
    <w:p w:rsidR="004377FC" w:rsidRPr="00DE2EB3" w:rsidRDefault="004377FC" w:rsidP="004377FC">
      <w:pPr>
        <w:rPr>
          <w:rFonts w:ascii="Calibri" w:hAnsi="Calibri"/>
          <w:sz w:val="20"/>
          <w:szCs w:val="20"/>
        </w:rPr>
      </w:pPr>
    </w:p>
    <w:tbl>
      <w:tblPr>
        <w:tblpPr w:leftFromText="180" w:rightFromText="180" w:vertAnchor="text" w:horzAnchor="margin" w:tblpXSpec="right" w:tblpY="198"/>
        <w:tblW w:w="0" w:type="auto"/>
        <w:tblBorders>
          <w:bottom w:val="single" w:sz="4" w:space="0" w:color="auto"/>
          <w:insideH w:val="single" w:sz="4" w:space="0" w:color="auto"/>
        </w:tblBorders>
        <w:tblLook w:val="01E0" w:firstRow="1" w:lastRow="1" w:firstColumn="1" w:lastColumn="1" w:noHBand="0" w:noVBand="0"/>
      </w:tblPr>
      <w:tblGrid>
        <w:gridCol w:w="1980"/>
        <w:gridCol w:w="1368"/>
        <w:gridCol w:w="2160"/>
        <w:gridCol w:w="2440"/>
      </w:tblGrid>
      <w:tr w:rsidR="004377FC" w:rsidRPr="001B4CA3" w:rsidTr="00D6205B">
        <w:tc>
          <w:tcPr>
            <w:tcW w:w="1980" w:type="dxa"/>
            <w:shd w:val="clear" w:color="auto" w:fill="D9D9D9"/>
          </w:tcPr>
          <w:p w:rsidR="004377FC" w:rsidRPr="00DE2EB3" w:rsidRDefault="004377FC" w:rsidP="00D6205B">
            <w:pPr>
              <w:rPr>
                <w:rFonts w:ascii="Calibri" w:hAnsi="Calibri"/>
                <w:sz w:val="20"/>
                <w:szCs w:val="20"/>
              </w:rPr>
            </w:pPr>
          </w:p>
        </w:tc>
        <w:tc>
          <w:tcPr>
            <w:tcW w:w="1368" w:type="dxa"/>
            <w:tcBorders>
              <w:top w:val="nil"/>
              <w:bottom w:val="nil"/>
            </w:tcBorders>
          </w:tcPr>
          <w:p w:rsidR="004377FC" w:rsidRPr="00DE2EB3" w:rsidRDefault="004377FC" w:rsidP="00D6205B">
            <w:pPr>
              <w:rPr>
                <w:rFonts w:ascii="Calibri" w:hAnsi="Calibri"/>
                <w:sz w:val="20"/>
                <w:szCs w:val="20"/>
              </w:rPr>
            </w:pPr>
            <w:r w:rsidRPr="00DE2EB3">
              <w:rPr>
                <w:rFonts w:ascii="Calibri" w:hAnsi="Calibri"/>
                <w:sz w:val="20"/>
                <w:szCs w:val="20"/>
              </w:rPr>
              <w:t>SERIES</w:t>
            </w:r>
          </w:p>
        </w:tc>
        <w:tc>
          <w:tcPr>
            <w:tcW w:w="2160" w:type="dxa"/>
            <w:shd w:val="clear" w:color="auto" w:fill="D9D9D9"/>
          </w:tcPr>
          <w:p w:rsidR="004377FC" w:rsidRPr="00DE2EB3" w:rsidRDefault="004377FC" w:rsidP="00D6205B">
            <w:pPr>
              <w:rPr>
                <w:rFonts w:ascii="Calibri" w:hAnsi="Calibri"/>
                <w:sz w:val="20"/>
                <w:szCs w:val="20"/>
              </w:rPr>
            </w:pPr>
          </w:p>
        </w:tc>
        <w:tc>
          <w:tcPr>
            <w:tcW w:w="2440" w:type="dxa"/>
            <w:tcBorders>
              <w:top w:val="nil"/>
              <w:bottom w:val="nil"/>
            </w:tcBorders>
          </w:tcPr>
          <w:p w:rsidR="004377FC" w:rsidRPr="00DE2EB3" w:rsidRDefault="004377FC" w:rsidP="00D6205B">
            <w:pPr>
              <w:rPr>
                <w:rFonts w:ascii="Calibri" w:hAnsi="Calibri"/>
                <w:sz w:val="20"/>
                <w:szCs w:val="20"/>
              </w:rPr>
            </w:pPr>
            <w:r w:rsidRPr="00DE2EB3">
              <w:rPr>
                <w:rFonts w:ascii="Calibri" w:hAnsi="Calibri"/>
                <w:sz w:val="20"/>
                <w:szCs w:val="20"/>
              </w:rPr>
              <w:t>GRADE</w:t>
            </w:r>
          </w:p>
        </w:tc>
      </w:tr>
    </w:tbl>
    <w:p w:rsidR="004377FC" w:rsidRPr="00DE2EB3" w:rsidRDefault="004377FC" w:rsidP="004377FC">
      <w:pPr>
        <w:rPr>
          <w:rFonts w:ascii="Calibri" w:hAnsi="Calibri"/>
          <w:sz w:val="20"/>
          <w:szCs w:val="20"/>
        </w:rPr>
      </w:pPr>
    </w:p>
    <w:p w:rsidR="004377FC" w:rsidRPr="00DE2EB3" w:rsidRDefault="004377FC" w:rsidP="004377FC">
      <w:pPr>
        <w:rPr>
          <w:rFonts w:ascii="Calibri" w:hAnsi="Calibri"/>
          <w:sz w:val="20"/>
          <w:szCs w:val="20"/>
        </w:rPr>
      </w:pPr>
      <w:r w:rsidRPr="00DE2EB3">
        <w:rPr>
          <w:rFonts w:ascii="Calibri" w:hAnsi="Calibri"/>
          <w:sz w:val="20"/>
          <w:szCs w:val="20"/>
        </w:rPr>
        <w:t xml:space="preserve"> </w:t>
      </w:r>
    </w:p>
    <w:tbl>
      <w:tblPr>
        <w:tblpPr w:leftFromText="180" w:rightFromText="180" w:vertAnchor="text" w:horzAnchor="margin" w:tblpXSpec="right" w:tblpY="198"/>
        <w:tblW w:w="0" w:type="auto"/>
        <w:tblBorders>
          <w:bottom w:val="single" w:sz="4" w:space="0" w:color="auto"/>
          <w:insideH w:val="single" w:sz="4" w:space="0" w:color="auto"/>
        </w:tblBorders>
        <w:tblLook w:val="01E0" w:firstRow="1" w:lastRow="1" w:firstColumn="1" w:lastColumn="1" w:noHBand="0" w:noVBand="0"/>
      </w:tblPr>
      <w:tblGrid>
        <w:gridCol w:w="5508"/>
        <w:gridCol w:w="2440"/>
      </w:tblGrid>
      <w:tr w:rsidR="004377FC" w:rsidRPr="001B4CA3" w:rsidTr="00D6205B">
        <w:tc>
          <w:tcPr>
            <w:tcW w:w="5508" w:type="dxa"/>
            <w:shd w:val="clear" w:color="auto" w:fill="D9D9D9"/>
          </w:tcPr>
          <w:p w:rsidR="004377FC" w:rsidRPr="00DE2EB3" w:rsidRDefault="004377FC" w:rsidP="00D6205B">
            <w:pPr>
              <w:rPr>
                <w:rFonts w:ascii="Calibri" w:hAnsi="Calibri"/>
                <w:sz w:val="20"/>
                <w:szCs w:val="20"/>
              </w:rPr>
            </w:pPr>
          </w:p>
        </w:tc>
        <w:tc>
          <w:tcPr>
            <w:tcW w:w="2440" w:type="dxa"/>
            <w:tcBorders>
              <w:top w:val="nil"/>
              <w:bottom w:val="nil"/>
            </w:tcBorders>
          </w:tcPr>
          <w:p w:rsidR="004377FC" w:rsidRPr="00DE2EB3" w:rsidRDefault="004377FC" w:rsidP="00D6205B">
            <w:pPr>
              <w:rPr>
                <w:rFonts w:ascii="Calibri" w:hAnsi="Calibri"/>
                <w:sz w:val="20"/>
                <w:szCs w:val="20"/>
              </w:rPr>
            </w:pPr>
            <w:r w:rsidRPr="00DE2EB3">
              <w:rPr>
                <w:rFonts w:ascii="Calibri" w:hAnsi="Calibri"/>
                <w:sz w:val="20"/>
                <w:szCs w:val="20"/>
              </w:rPr>
              <w:t>POSITION TITLE</w:t>
            </w:r>
          </w:p>
        </w:tc>
      </w:tr>
    </w:tbl>
    <w:p w:rsidR="004377FC" w:rsidRPr="00DE2EB3" w:rsidRDefault="004377FC" w:rsidP="004377FC">
      <w:pPr>
        <w:rPr>
          <w:rFonts w:ascii="Calibri" w:hAnsi="Calibri"/>
          <w:sz w:val="20"/>
          <w:szCs w:val="20"/>
        </w:rPr>
      </w:pPr>
    </w:p>
    <w:p w:rsidR="004377FC" w:rsidRPr="00DE2EB3" w:rsidRDefault="004377FC" w:rsidP="004377FC">
      <w:pPr>
        <w:rPr>
          <w:rFonts w:ascii="Calibri" w:hAnsi="Calibri"/>
          <w:sz w:val="20"/>
          <w:szCs w:val="20"/>
        </w:rPr>
      </w:pPr>
      <w:r w:rsidRPr="00DE2EB3">
        <w:rPr>
          <w:rFonts w:ascii="Calibri" w:hAnsi="Calibri"/>
          <w:sz w:val="20"/>
          <w:szCs w:val="20"/>
        </w:rPr>
        <w:t xml:space="preserve"> </w:t>
      </w:r>
    </w:p>
    <w:p w:rsidR="004377FC" w:rsidRPr="00DE2EB3" w:rsidRDefault="004377FC" w:rsidP="004377FC">
      <w:pPr>
        <w:rPr>
          <w:rFonts w:ascii="Calibri" w:hAnsi="Calibri"/>
          <w:sz w:val="20"/>
          <w:szCs w:val="20"/>
        </w:rPr>
      </w:pPr>
    </w:p>
    <w:p w:rsidR="004377FC" w:rsidRPr="00DE2EB3" w:rsidRDefault="004377FC" w:rsidP="004377FC">
      <w:pPr>
        <w:rPr>
          <w:rFonts w:ascii="Calibri" w:hAnsi="Calibri"/>
          <w:sz w:val="20"/>
          <w:szCs w:val="20"/>
        </w:rPr>
      </w:pPr>
      <w:r w:rsidRPr="00DE2EB3">
        <w:rPr>
          <w:rFonts w:ascii="Calibri" w:hAnsi="Calibri"/>
          <w:sz w:val="20"/>
          <w:szCs w:val="20"/>
        </w:rPr>
        <w:t>HOW DID YOU FIND OUT ABOUT THIS OUTREACH NOTICE?</w:t>
      </w:r>
    </w:p>
    <w:tbl>
      <w:tblPr>
        <w:tblpPr w:leftFromText="180" w:rightFromText="180" w:vertAnchor="text" w:horzAnchor="margin" w:tblpXSpec="right" w:tblpY="198"/>
        <w:tblW w:w="0" w:type="auto"/>
        <w:tblBorders>
          <w:bottom w:val="single" w:sz="4" w:space="0" w:color="auto"/>
          <w:insideH w:val="single" w:sz="4" w:space="0" w:color="auto"/>
        </w:tblBorders>
        <w:tblLook w:val="01E0" w:firstRow="1" w:lastRow="1" w:firstColumn="1" w:lastColumn="1" w:noHBand="0" w:noVBand="0"/>
      </w:tblPr>
      <w:tblGrid>
        <w:gridCol w:w="9360"/>
      </w:tblGrid>
      <w:tr w:rsidR="004377FC" w:rsidRPr="001B4CA3" w:rsidTr="00D6205B">
        <w:tc>
          <w:tcPr>
            <w:tcW w:w="9892" w:type="dxa"/>
            <w:shd w:val="clear" w:color="auto" w:fill="D9D9D9"/>
          </w:tcPr>
          <w:p w:rsidR="004377FC" w:rsidRPr="00DE2EB3" w:rsidRDefault="004377FC" w:rsidP="00D6205B">
            <w:pPr>
              <w:rPr>
                <w:rFonts w:ascii="Calibri" w:hAnsi="Calibri"/>
                <w:sz w:val="20"/>
                <w:szCs w:val="20"/>
              </w:rPr>
            </w:pPr>
          </w:p>
        </w:tc>
      </w:tr>
    </w:tbl>
    <w:p w:rsidR="004377FC" w:rsidRPr="00DE2EB3" w:rsidRDefault="004377FC" w:rsidP="004377FC">
      <w:pPr>
        <w:rPr>
          <w:rFonts w:ascii="Calibri" w:hAnsi="Calibri"/>
          <w:b/>
        </w:rPr>
      </w:pPr>
      <w:r w:rsidRPr="00DE2EB3">
        <w:rPr>
          <w:rFonts w:ascii="Calibri" w:hAnsi="Calibri"/>
          <w:b/>
        </w:rPr>
        <w:t>Use the space below to identify special qualifications, interest, or additional information:</w:t>
      </w:r>
    </w:p>
    <w:p w:rsidR="004377FC" w:rsidRDefault="004377FC" w:rsidP="004377FC">
      <w:pPr>
        <w:pStyle w:val="Heading1"/>
        <w:jc w:val="left"/>
        <w:rPr>
          <w:noProof w:val="0"/>
        </w:rPr>
      </w:pPr>
    </w:p>
    <w:p w:rsidR="004377FC" w:rsidRPr="004377FC" w:rsidRDefault="004377FC" w:rsidP="004377FC"/>
    <w:sectPr w:rsidR="004377FC" w:rsidRPr="004377FC" w:rsidSect="004D6B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BD5" w:rsidRDefault="00242BD5" w:rsidP="00DA79C6">
      <w:r>
        <w:separator/>
      </w:r>
    </w:p>
  </w:endnote>
  <w:endnote w:type="continuationSeparator" w:id="0">
    <w:p w:rsidR="00242BD5" w:rsidRDefault="00242BD5" w:rsidP="00DA7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BD5" w:rsidRDefault="00242BD5" w:rsidP="00DA79C6">
      <w:r>
        <w:separator/>
      </w:r>
    </w:p>
  </w:footnote>
  <w:footnote w:type="continuationSeparator" w:id="0">
    <w:p w:rsidR="00242BD5" w:rsidRDefault="00242BD5" w:rsidP="00DA7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3E50FC"/>
    <w:multiLevelType w:val="hybridMultilevel"/>
    <w:tmpl w:val="AFAABB9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01710A0"/>
    <w:multiLevelType w:val="hybridMultilevel"/>
    <w:tmpl w:val="9FA2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32B"/>
    <w:rsid w:val="0000023D"/>
    <w:rsid w:val="00027B99"/>
    <w:rsid w:val="0004417D"/>
    <w:rsid w:val="0005067F"/>
    <w:rsid w:val="00061326"/>
    <w:rsid w:val="00081F98"/>
    <w:rsid w:val="000909E4"/>
    <w:rsid w:val="000929ED"/>
    <w:rsid w:val="00092E08"/>
    <w:rsid w:val="00096E5C"/>
    <w:rsid w:val="000A1C7A"/>
    <w:rsid w:val="000C1BD3"/>
    <w:rsid w:val="000E4954"/>
    <w:rsid w:val="000E62E8"/>
    <w:rsid w:val="000E6F47"/>
    <w:rsid w:val="000F0584"/>
    <w:rsid w:val="001046A8"/>
    <w:rsid w:val="001204A8"/>
    <w:rsid w:val="00124B3E"/>
    <w:rsid w:val="001345C9"/>
    <w:rsid w:val="00136505"/>
    <w:rsid w:val="00146CDC"/>
    <w:rsid w:val="001554EB"/>
    <w:rsid w:val="00156CDF"/>
    <w:rsid w:val="00164C95"/>
    <w:rsid w:val="00174B0B"/>
    <w:rsid w:val="001A04A0"/>
    <w:rsid w:val="001B7CE0"/>
    <w:rsid w:val="001C5FEB"/>
    <w:rsid w:val="001E2266"/>
    <w:rsid w:val="001E7C6B"/>
    <w:rsid w:val="00222807"/>
    <w:rsid w:val="002335B9"/>
    <w:rsid w:val="00242857"/>
    <w:rsid w:val="00242BD5"/>
    <w:rsid w:val="00243A14"/>
    <w:rsid w:val="0025332B"/>
    <w:rsid w:val="00253536"/>
    <w:rsid w:val="00265DFD"/>
    <w:rsid w:val="002668D6"/>
    <w:rsid w:val="0027433B"/>
    <w:rsid w:val="00285B17"/>
    <w:rsid w:val="002A4401"/>
    <w:rsid w:val="002A5CB0"/>
    <w:rsid w:val="002B4219"/>
    <w:rsid w:val="002E4741"/>
    <w:rsid w:val="00302D42"/>
    <w:rsid w:val="0031416F"/>
    <w:rsid w:val="00315B14"/>
    <w:rsid w:val="0032023F"/>
    <w:rsid w:val="0033039E"/>
    <w:rsid w:val="00332082"/>
    <w:rsid w:val="003574F3"/>
    <w:rsid w:val="00372F94"/>
    <w:rsid w:val="00380584"/>
    <w:rsid w:val="003B40F8"/>
    <w:rsid w:val="003C3A6B"/>
    <w:rsid w:val="003E13E9"/>
    <w:rsid w:val="003E653A"/>
    <w:rsid w:val="003F783A"/>
    <w:rsid w:val="00403B1C"/>
    <w:rsid w:val="004173CC"/>
    <w:rsid w:val="004377FC"/>
    <w:rsid w:val="004419FE"/>
    <w:rsid w:val="0045040F"/>
    <w:rsid w:val="004527F8"/>
    <w:rsid w:val="004555DE"/>
    <w:rsid w:val="00456960"/>
    <w:rsid w:val="00467BE8"/>
    <w:rsid w:val="0049233F"/>
    <w:rsid w:val="004A4209"/>
    <w:rsid w:val="004B099B"/>
    <w:rsid w:val="004B0E54"/>
    <w:rsid w:val="004D6B03"/>
    <w:rsid w:val="004E44F9"/>
    <w:rsid w:val="0050641D"/>
    <w:rsid w:val="0052214F"/>
    <w:rsid w:val="0052725C"/>
    <w:rsid w:val="00533D4A"/>
    <w:rsid w:val="005455BF"/>
    <w:rsid w:val="005650CF"/>
    <w:rsid w:val="005B0039"/>
    <w:rsid w:val="005C7B68"/>
    <w:rsid w:val="005F1086"/>
    <w:rsid w:val="006559CC"/>
    <w:rsid w:val="00677430"/>
    <w:rsid w:val="00683FEF"/>
    <w:rsid w:val="00684711"/>
    <w:rsid w:val="006A2227"/>
    <w:rsid w:val="006C22B3"/>
    <w:rsid w:val="006C5148"/>
    <w:rsid w:val="006C66CF"/>
    <w:rsid w:val="006C79A2"/>
    <w:rsid w:val="006D3562"/>
    <w:rsid w:val="006D7D36"/>
    <w:rsid w:val="006F2864"/>
    <w:rsid w:val="00710218"/>
    <w:rsid w:val="00762432"/>
    <w:rsid w:val="00762FD4"/>
    <w:rsid w:val="00765E84"/>
    <w:rsid w:val="007B0F38"/>
    <w:rsid w:val="007E5FFE"/>
    <w:rsid w:val="007E7A7A"/>
    <w:rsid w:val="008206D9"/>
    <w:rsid w:val="008A00A5"/>
    <w:rsid w:val="008B7644"/>
    <w:rsid w:val="008D12DD"/>
    <w:rsid w:val="008E39AF"/>
    <w:rsid w:val="008E4759"/>
    <w:rsid w:val="008E52D7"/>
    <w:rsid w:val="00926837"/>
    <w:rsid w:val="00931C9D"/>
    <w:rsid w:val="009421DF"/>
    <w:rsid w:val="00943CC6"/>
    <w:rsid w:val="00946A09"/>
    <w:rsid w:val="009554E8"/>
    <w:rsid w:val="00961548"/>
    <w:rsid w:val="009A0021"/>
    <w:rsid w:val="009A3C98"/>
    <w:rsid w:val="009D4832"/>
    <w:rsid w:val="009E4401"/>
    <w:rsid w:val="009E711C"/>
    <w:rsid w:val="009F3F83"/>
    <w:rsid w:val="009F6B65"/>
    <w:rsid w:val="00A11489"/>
    <w:rsid w:val="00A13005"/>
    <w:rsid w:val="00A2576F"/>
    <w:rsid w:val="00A44868"/>
    <w:rsid w:val="00A4510E"/>
    <w:rsid w:val="00A46F7F"/>
    <w:rsid w:val="00A52834"/>
    <w:rsid w:val="00A53668"/>
    <w:rsid w:val="00A62793"/>
    <w:rsid w:val="00A8579F"/>
    <w:rsid w:val="00A94E3A"/>
    <w:rsid w:val="00AC7057"/>
    <w:rsid w:val="00AD0A6A"/>
    <w:rsid w:val="00AD775D"/>
    <w:rsid w:val="00B036D3"/>
    <w:rsid w:val="00B054BD"/>
    <w:rsid w:val="00B20DFB"/>
    <w:rsid w:val="00B36615"/>
    <w:rsid w:val="00B82E63"/>
    <w:rsid w:val="00B95F0F"/>
    <w:rsid w:val="00BB0144"/>
    <w:rsid w:val="00BD35F1"/>
    <w:rsid w:val="00C12062"/>
    <w:rsid w:val="00C14A47"/>
    <w:rsid w:val="00C27B55"/>
    <w:rsid w:val="00C5053B"/>
    <w:rsid w:val="00C57151"/>
    <w:rsid w:val="00C750CC"/>
    <w:rsid w:val="00C819B7"/>
    <w:rsid w:val="00C87BD7"/>
    <w:rsid w:val="00C92C24"/>
    <w:rsid w:val="00C93AC3"/>
    <w:rsid w:val="00CB38A6"/>
    <w:rsid w:val="00CE411A"/>
    <w:rsid w:val="00D03001"/>
    <w:rsid w:val="00D121F6"/>
    <w:rsid w:val="00D17E4F"/>
    <w:rsid w:val="00D56C84"/>
    <w:rsid w:val="00D60D99"/>
    <w:rsid w:val="00D6205B"/>
    <w:rsid w:val="00D71A7E"/>
    <w:rsid w:val="00D93E71"/>
    <w:rsid w:val="00D95443"/>
    <w:rsid w:val="00DA0FB3"/>
    <w:rsid w:val="00DA79C6"/>
    <w:rsid w:val="00DC68FF"/>
    <w:rsid w:val="00DC6F12"/>
    <w:rsid w:val="00DE139B"/>
    <w:rsid w:val="00DF0C45"/>
    <w:rsid w:val="00E06FC8"/>
    <w:rsid w:val="00E079FE"/>
    <w:rsid w:val="00E15505"/>
    <w:rsid w:val="00E35DEA"/>
    <w:rsid w:val="00E404D0"/>
    <w:rsid w:val="00E62F04"/>
    <w:rsid w:val="00E6415E"/>
    <w:rsid w:val="00E76239"/>
    <w:rsid w:val="00E77A24"/>
    <w:rsid w:val="00E9228B"/>
    <w:rsid w:val="00EA41E9"/>
    <w:rsid w:val="00EC26E4"/>
    <w:rsid w:val="00ED042B"/>
    <w:rsid w:val="00F01A82"/>
    <w:rsid w:val="00F330C9"/>
    <w:rsid w:val="00F438F6"/>
    <w:rsid w:val="00F556AA"/>
    <w:rsid w:val="00F7539E"/>
    <w:rsid w:val="00F80DCE"/>
    <w:rsid w:val="00F825D6"/>
    <w:rsid w:val="00FB0F40"/>
    <w:rsid w:val="00FE3B42"/>
    <w:rsid w:val="00FF5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E3E2E9-8CD2-48C4-98B2-5032F9A1B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Calibri" w:hAnsi="Comic Sans M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32B"/>
    <w:pPr>
      <w:widowControl w:val="0"/>
      <w:autoSpaceDE w:val="0"/>
      <w:autoSpaceDN w:val="0"/>
      <w:adjustRightInd w:val="0"/>
    </w:pPr>
    <w:rPr>
      <w:rFonts w:ascii="Times" w:eastAsia="Times New Roman" w:hAnsi="Times"/>
      <w:noProof/>
      <w:color w:val="000000"/>
      <w:sz w:val="24"/>
      <w:szCs w:val="24"/>
    </w:rPr>
  </w:style>
  <w:style w:type="paragraph" w:styleId="Heading1">
    <w:name w:val="heading 1"/>
    <w:basedOn w:val="Normal"/>
    <w:next w:val="Normal"/>
    <w:link w:val="Heading1Char"/>
    <w:qFormat/>
    <w:rsid w:val="00C93AC3"/>
    <w:pPr>
      <w:keepNext/>
      <w:widowControl/>
      <w:jc w:val="center"/>
      <w:outlineLvl w:val="0"/>
    </w:pPr>
    <w:rPr>
      <w:rFonts w:ascii="Helvetica" w:hAnsi="Helvetica"/>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5332B"/>
    <w:rPr>
      <w:color w:val="0000FF"/>
      <w:u w:val="single"/>
    </w:rPr>
  </w:style>
  <w:style w:type="paragraph" w:customStyle="1" w:styleId="axNormal">
    <w:name w:val="axNormal"/>
    <w:rsid w:val="0025332B"/>
    <w:pPr>
      <w:widowControl w:val="0"/>
      <w:tabs>
        <w:tab w:val="left" w:pos="720"/>
        <w:tab w:val="left" w:pos="1440"/>
        <w:tab w:val="left" w:pos="2160"/>
      </w:tabs>
      <w:autoSpaceDE w:val="0"/>
      <w:autoSpaceDN w:val="0"/>
      <w:adjustRightInd w:val="0"/>
    </w:pPr>
    <w:rPr>
      <w:rFonts w:ascii="Times" w:eastAsia="Times New Roman" w:hAnsi="Times"/>
      <w:noProof/>
      <w:color w:val="000000"/>
      <w:sz w:val="24"/>
      <w:szCs w:val="24"/>
    </w:rPr>
  </w:style>
  <w:style w:type="paragraph" w:styleId="BalloonText">
    <w:name w:val="Balloon Text"/>
    <w:basedOn w:val="Normal"/>
    <w:link w:val="BalloonTextChar"/>
    <w:uiPriority w:val="99"/>
    <w:semiHidden/>
    <w:unhideWhenUsed/>
    <w:rsid w:val="0004417D"/>
    <w:rPr>
      <w:rFonts w:ascii="Tahoma" w:hAnsi="Tahoma" w:cs="Tahoma"/>
      <w:sz w:val="16"/>
      <w:szCs w:val="16"/>
    </w:rPr>
  </w:style>
  <w:style w:type="character" w:customStyle="1" w:styleId="BalloonTextChar">
    <w:name w:val="Balloon Text Char"/>
    <w:link w:val="BalloonText"/>
    <w:uiPriority w:val="99"/>
    <w:semiHidden/>
    <w:rsid w:val="0004417D"/>
    <w:rPr>
      <w:rFonts w:ascii="Tahoma" w:eastAsia="Times New Roman" w:hAnsi="Tahoma" w:cs="Tahoma"/>
      <w:noProof/>
      <w:color w:val="000000"/>
      <w:sz w:val="16"/>
      <w:szCs w:val="16"/>
    </w:rPr>
  </w:style>
  <w:style w:type="character" w:customStyle="1" w:styleId="Heading1Char">
    <w:name w:val="Heading 1 Char"/>
    <w:link w:val="Heading1"/>
    <w:rsid w:val="00C93AC3"/>
    <w:rPr>
      <w:rFonts w:ascii="Helvetica" w:eastAsia="Times New Roman" w:hAnsi="Helvetica"/>
      <w:b/>
      <w:noProof/>
      <w:color w:val="000000"/>
      <w:sz w:val="36"/>
      <w:szCs w:val="24"/>
    </w:rPr>
  </w:style>
  <w:style w:type="character" w:styleId="FollowedHyperlink">
    <w:name w:val="FollowedHyperlink"/>
    <w:uiPriority w:val="99"/>
    <w:semiHidden/>
    <w:unhideWhenUsed/>
    <w:rsid w:val="00E9228B"/>
    <w:rPr>
      <w:color w:val="800080"/>
      <w:u w:val="single"/>
    </w:rPr>
  </w:style>
  <w:style w:type="character" w:customStyle="1" w:styleId="Unhide">
    <w:name w:val="Unhide"/>
    <w:uiPriority w:val="1"/>
    <w:rsid w:val="00E6415E"/>
    <w:rPr>
      <w:rFonts w:ascii="Times New Roman" w:hAnsi="Times New Roman" w:cs="Times New Roman" w:hint="default"/>
    </w:rPr>
  </w:style>
  <w:style w:type="paragraph" w:customStyle="1" w:styleId="Paragraph">
    <w:name w:val="Paragraph"/>
    <w:basedOn w:val="Normal"/>
    <w:rsid w:val="00E06FC8"/>
    <w:pPr>
      <w:spacing w:after="172"/>
    </w:pPr>
    <w:rPr>
      <w:rFonts w:eastAsia="Calibri"/>
      <w:noProof w:val="0"/>
    </w:rPr>
  </w:style>
  <w:style w:type="paragraph" w:styleId="Header">
    <w:name w:val="header"/>
    <w:basedOn w:val="Normal"/>
    <w:link w:val="HeaderChar"/>
    <w:uiPriority w:val="99"/>
    <w:unhideWhenUsed/>
    <w:rsid w:val="00DA79C6"/>
    <w:pPr>
      <w:tabs>
        <w:tab w:val="center" w:pos="4680"/>
        <w:tab w:val="right" w:pos="9360"/>
      </w:tabs>
    </w:pPr>
  </w:style>
  <w:style w:type="character" w:customStyle="1" w:styleId="HeaderChar">
    <w:name w:val="Header Char"/>
    <w:link w:val="Header"/>
    <w:uiPriority w:val="99"/>
    <w:rsid w:val="00DA79C6"/>
    <w:rPr>
      <w:rFonts w:ascii="Times" w:eastAsia="Times New Roman" w:hAnsi="Times"/>
      <w:noProof/>
      <w:color w:val="000000"/>
      <w:sz w:val="24"/>
      <w:szCs w:val="24"/>
    </w:rPr>
  </w:style>
  <w:style w:type="paragraph" w:styleId="Footer">
    <w:name w:val="footer"/>
    <w:basedOn w:val="Normal"/>
    <w:link w:val="FooterChar"/>
    <w:uiPriority w:val="99"/>
    <w:unhideWhenUsed/>
    <w:rsid w:val="00DA79C6"/>
    <w:pPr>
      <w:tabs>
        <w:tab w:val="center" w:pos="4680"/>
        <w:tab w:val="right" w:pos="9360"/>
      </w:tabs>
    </w:pPr>
  </w:style>
  <w:style w:type="character" w:customStyle="1" w:styleId="FooterChar">
    <w:name w:val="Footer Char"/>
    <w:link w:val="Footer"/>
    <w:uiPriority w:val="99"/>
    <w:rsid w:val="00DA79C6"/>
    <w:rPr>
      <w:rFonts w:ascii="Times" w:eastAsia="Times New Roman" w:hAnsi="Times"/>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280684">
      <w:bodyDiv w:val="1"/>
      <w:marLeft w:val="0"/>
      <w:marRight w:val="0"/>
      <w:marTop w:val="0"/>
      <w:marBottom w:val="0"/>
      <w:divBdr>
        <w:top w:val="none" w:sz="0" w:space="0" w:color="auto"/>
        <w:left w:val="none" w:sz="0" w:space="0" w:color="auto"/>
        <w:bottom w:val="none" w:sz="0" w:space="0" w:color="auto"/>
        <w:right w:val="none" w:sz="0" w:space="0" w:color="auto"/>
      </w:divBdr>
    </w:div>
    <w:div w:id="1316688582">
      <w:bodyDiv w:val="1"/>
      <w:marLeft w:val="0"/>
      <w:marRight w:val="0"/>
      <w:marTop w:val="0"/>
      <w:marBottom w:val="0"/>
      <w:divBdr>
        <w:top w:val="none" w:sz="0" w:space="0" w:color="auto"/>
        <w:left w:val="none" w:sz="0" w:space="0" w:color="auto"/>
        <w:bottom w:val="none" w:sz="0" w:space="0" w:color="auto"/>
        <w:right w:val="none" w:sz="0" w:space="0" w:color="auto"/>
      </w:divBdr>
    </w:div>
    <w:div w:id="1489206549">
      <w:bodyDiv w:val="1"/>
      <w:marLeft w:val="0"/>
      <w:marRight w:val="0"/>
      <w:marTop w:val="0"/>
      <w:marBottom w:val="0"/>
      <w:divBdr>
        <w:top w:val="none" w:sz="0" w:space="0" w:color="auto"/>
        <w:left w:val="none" w:sz="0" w:space="0" w:color="auto"/>
        <w:bottom w:val="none" w:sz="0" w:space="0" w:color="auto"/>
        <w:right w:val="none" w:sz="0" w:space="0" w:color="auto"/>
      </w:divBdr>
    </w:div>
    <w:div w:id="1524905023">
      <w:bodyDiv w:val="1"/>
      <w:marLeft w:val="0"/>
      <w:marRight w:val="0"/>
      <w:marTop w:val="0"/>
      <w:marBottom w:val="0"/>
      <w:divBdr>
        <w:top w:val="none" w:sz="0" w:space="0" w:color="auto"/>
        <w:left w:val="none" w:sz="0" w:space="0" w:color="auto"/>
        <w:bottom w:val="none" w:sz="0" w:space="0" w:color="auto"/>
        <w:right w:val="none" w:sz="0" w:space="0" w:color="auto"/>
      </w:divBdr>
    </w:div>
    <w:div w:id="210410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baker.com/" TargetMode="External"/><Relationship Id="rId13" Type="http://schemas.openxmlformats.org/officeDocument/2006/relationships/image" Target="http://www.fs.fed.us/r1/r1_stuff/shieldfs.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s.usda.gov/wallowa-whitma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ucwijayratne@fs.fed.us" TargetMode="External"/><Relationship Id="rId4" Type="http://schemas.openxmlformats.org/officeDocument/2006/relationships/webSettings" Target="webSettings.xml"/><Relationship Id="rId9" Type="http://schemas.openxmlformats.org/officeDocument/2006/relationships/hyperlink" Target="https://fsoutreach.gdcii.com?id=6326705F35AE423997B22514C5CCB2B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8424</CharactersWithSpaces>
  <SharedDoc>false</SharedDoc>
  <HLinks>
    <vt:vector size="30" baseType="variant">
      <vt:variant>
        <vt:i4>6815862</vt:i4>
      </vt:variant>
      <vt:variant>
        <vt:i4>9</vt:i4>
      </vt:variant>
      <vt:variant>
        <vt:i4>0</vt:i4>
      </vt:variant>
      <vt:variant>
        <vt:i4>5</vt:i4>
      </vt:variant>
      <vt:variant>
        <vt:lpwstr>http://www.fs.usda.gov/wallowa-whitman</vt:lpwstr>
      </vt:variant>
      <vt:variant>
        <vt:lpwstr/>
      </vt:variant>
      <vt:variant>
        <vt:i4>3670081</vt:i4>
      </vt:variant>
      <vt:variant>
        <vt:i4>6</vt:i4>
      </vt:variant>
      <vt:variant>
        <vt:i4>0</vt:i4>
      </vt:variant>
      <vt:variant>
        <vt:i4>5</vt:i4>
      </vt:variant>
      <vt:variant>
        <vt:lpwstr>mailto:ucwijayratne@fs.fed.us</vt:lpwstr>
      </vt:variant>
      <vt:variant>
        <vt:lpwstr/>
      </vt:variant>
      <vt:variant>
        <vt:i4>6225994</vt:i4>
      </vt:variant>
      <vt:variant>
        <vt:i4>3</vt:i4>
      </vt:variant>
      <vt:variant>
        <vt:i4>0</vt:i4>
      </vt:variant>
      <vt:variant>
        <vt:i4>5</vt:i4>
      </vt:variant>
      <vt:variant>
        <vt:lpwstr>https://fsoutreach.gdcii.com/?id=6326705F35AE423997B22514C5CCB2BA</vt:lpwstr>
      </vt:variant>
      <vt:variant>
        <vt:lpwstr/>
      </vt:variant>
      <vt:variant>
        <vt:i4>3145765</vt:i4>
      </vt:variant>
      <vt:variant>
        <vt:i4>0</vt:i4>
      </vt:variant>
      <vt:variant>
        <vt:i4>0</vt:i4>
      </vt:variant>
      <vt:variant>
        <vt:i4>5</vt:i4>
      </vt:variant>
      <vt:variant>
        <vt:lpwstr>http://www.visitbaker.com/</vt:lpwstr>
      </vt:variant>
      <vt:variant>
        <vt:lpwstr/>
      </vt:variant>
      <vt:variant>
        <vt:i4>39</vt:i4>
      </vt:variant>
      <vt:variant>
        <vt:i4>-1</vt:i4>
      </vt:variant>
      <vt:variant>
        <vt:i4>1026</vt:i4>
      </vt:variant>
      <vt:variant>
        <vt:i4>1</vt:i4>
      </vt:variant>
      <vt:variant>
        <vt:lpwstr>http://www.fs.fed.us/r1/r1_stuff/shieldfs.gif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thester</dc:creator>
  <cp:keywords/>
  <cp:lastModifiedBy>Azar, Averi (Staff)</cp:lastModifiedBy>
  <cp:revision>2</cp:revision>
  <cp:lastPrinted>2017-04-14T22:52:00Z</cp:lastPrinted>
  <dcterms:created xsi:type="dcterms:W3CDTF">2018-04-30T20:12:00Z</dcterms:created>
  <dcterms:modified xsi:type="dcterms:W3CDTF">2018-04-30T20:12:00Z</dcterms:modified>
</cp:coreProperties>
</file>